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229E88" w14:textId="77CB73E9" w:rsidR="00953541" w:rsidRPr="00953541" w:rsidRDefault="00953541" w:rsidP="00953541">
      <w:pPr>
        <w:rPr>
          <w:rFonts w:ascii="Calibri" w:hAnsi="Calibri" w:cs="Calibri"/>
          <w:b/>
          <w:bCs/>
          <w:color w:val="FFFFFF" w:themeColor="background1"/>
          <w:sz w:val="52"/>
          <w:szCs w:val="52"/>
          <w:lang w:val="fr-FR"/>
        </w:rPr>
      </w:pPr>
      <w:r>
        <w:rPr>
          <w:rFonts w:ascii="Calibri" w:hAnsi="Calibri" w:cs="Calibri"/>
          <w:b/>
          <w:bCs/>
          <w:noProof/>
          <w:lang w:val="en-US"/>
        </w:rPr>
        <w:drawing>
          <wp:anchor distT="0" distB="0" distL="114300" distR="114300" simplePos="0" relativeHeight="251659264" behindDoc="1" locked="0" layoutInCell="1" allowOverlap="1" wp14:anchorId="3B289389" wp14:editId="0B9336E6">
            <wp:simplePos x="0" y="0"/>
            <wp:positionH relativeFrom="page">
              <wp:posOffset>16066</wp:posOffset>
            </wp:positionH>
            <wp:positionV relativeFrom="paragraph">
              <wp:posOffset>-897890</wp:posOffset>
            </wp:positionV>
            <wp:extent cx="7558500" cy="1797269"/>
            <wp:effectExtent l="0" t="0" r="4445" b="0"/>
            <wp:wrapNone/>
            <wp:docPr id="513275574" name="Image 7"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75574" name="Image 7" descr="Une image contenant Bleu électrique, Bleu Majorelle, Bleu cobalt, drapeau&#10;&#10;Description générée automatiquemen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7558500" cy="179726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pict w14:anchorId="57C8AC40">
          <v:rect id="Rectangle 63" o:spid="_x0000_s1026" style="position:absolute;margin-left:40.55pt;margin-top:35.3pt;width:46.2pt;height:3.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nEn4QIAAFAGAAAOAAAAZHJzL2Uyb0RvYy54bWysVUtv2zAMvg/YfxB0Xx1naZsGdYqgRYcB&#10;XVs0HXpWZDkWJkuaJMfJfv1IyXHSx2lYDor4Jj+K9OXVtlFkI5yXRhc0PxlRIjQ3pdTrgv58vv0y&#10;pcQHpkumjBYF3QlPr+afP112dibGpjaqFI6AE+1nnS1oHYKdZZnntWiYPzFWaBBWxjUsAOnWWelY&#10;B94blY1Ho7OsM660znDhPXBvkpDOo/+qEjw8VJUXgaiCQm4hni6eKzyz+SWbrR2zteR9GuwfsmiY&#10;1BB0cHXDAiOtk+9cNZI7400VTrhpMlNVkotYA1STj95Us6yZFbEWAMfbASb//9zy+83SPjqAobN+&#10;5uGKVWwr1+A/5Ee2EazdAJbYBsKBeTo9O58ApBxEk9Pz/AKxzA621vnwTZiG4KWgDloREWKbOx+S&#10;6l4FQ3mjZHkrlYoEtl9cK0c2DBrHOBc6TKK5apsfpkz8sxH8UguBDY1O7MmeDdnEh4SeYm6vgiiN&#10;obTBoCmfxBHx2UCSEYE2CLesy46sVOueWAmFj6YQlZQSy/o6zRMBb2p8joFBxNQahiEoSpwJLzLU&#10;sZGIILrEqofSVorxXwkXZWv2voBeO6Zv9slE6ijP7NC8eAs7JTCU0k+iIrKEdo1jkAGOY2DzJKpZ&#10;KRI7P8UyEiaDRYwZHaLnCkAbfPcOPmpa3rvp9dE05T0YJ1CGMK8TSzkMFjGy0WEwbqQ27qPKVBgi&#10;J31I/wgavK5MuXt02KL4wr3ltxJac8d8eGQOtgB0EjZbeICjUqYrqOlvlNTG/fmIj/ownCClpIOt&#10;UlD/u2VOUKK+axjbi3yCMxMiAVMzBsIdS1bHEt021wbefw471PJ4Rf2g9tfKmeYFFuACo4KIaQ6x&#10;C8qD2xPXIW07WKFcLBZRDVaPZeFOLy1H54gqPrPn7Qtztp/XAHN+b/YbiM3ejG3SRUttFm0wlYwz&#10;fcC1xxvWVnw4/YrFvXhMR63Dh2D+FwAA//8DAFBLAwQUAAYACAAAACEAM34L+NwAAAAIAQAADwAA&#10;AGRycy9kb3ducmV2LnhtbEyPwU7DMBBE70j9B2srcaNOQDRRiFNVSEVcEBD4gG28iaPG6yh2m/D3&#10;uCc47s5o5k25W+wgLjT53rGCdJOAIG6c7rlT8P11uMtB+ICscXBMCn7Iw65a3ZRYaDfzJ13q0IkY&#10;wr5ABSaEsZDSN4Ys+o0biaPWusliiOfUST3hHMPtIO+TZCst9hwbDI70bKg51WcbSw7z/r1rX/r6&#10;1XqU7ceJ30yi1O162T+BCLSEPzNc8SM6VJHp6M6svRgU5GkanQqyZAviqmcPjyCO8ZHlIKtS/h9Q&#10;/QIAAP//AwBQSwECLQAUAAYACAAAACEAtoM4kv4AAADhAQAAEwAAAAAAAAAAAAAAAAAAAAAAW0Nv&#10;bnRlbnRfVHlwZXNdLnhtbFBLAQItABQABgAIAAAAIQA4/SH/1gAAAJQBAAALAAAAAAAAAAAAAAAA&#10;AC8BAABfcmVscy8ucmVsc1BLAQItABQABgAIAAAAIQAdEnEn4QIAAFAGAAAOAAAAAAAAAAAAAAAA&#10;AC4CAABkcnMvZTJvRG9jLnhtbFBLAQItABQABgAIAAAAIQAzfgv43AAAAAgBAAAPAAAAAAAAAAAA&#10;AAAAADsFAABkcnMvZG93bnJldi54bWxQSwUGAAAAAAQABADzAAAARAYAAAAA&#10;" fillcolor="#ffd966 [1943]" stroked="f" strokeweight="1pt">
            <v:shadow on="t" color="black" opacity="26214f" origin="-.5,-.5" offset=".74836mm,.74836mm"/>
          </v:rect>
        </w:pict>
      </w:r>
      <w:r w:rsidRPr="00953541">
        <w:rPr>
          <w:rFonts w:ascii="Calibri" w:hAnsi="Calibri" w:cs="Calibri"/>
          <w:b/>
          <w:bCs/>
          <w:color w:val="FFFFFF" w:themeColor="background1"/>
          <w:sz w:val="52"/>
          <w:szCs w:val="52"/>
          <w:lang w:val="fr-FR"/>
        </w:rPr>
        <w:t>S</w:t>
      </w:r>
      <w:r>
        <w:rPr>
          <w:rFonts w:ascii="Calibri" w:hAnsi="Calibri" w:cs="Calibri"/>
          <w:b/>
          <w:bCs/>
          <w:color w:val="FFFFFF" w:themeColor="background1"/>
          <w:sz w:val="52"/>
          <w:szCs w:val="52"/>
          <w:lang w:val="fr-FR"/>
        </w:rPr>
        <w:t>HRNUTÍ ČLÁNKŮ</w:t>
      </w:r>
      <w:r w:rsidRPr="00953541">
        <w:rPr>
          <w:rFonts w:ascii="Calibri" w:hAnsi="Calibri" w:cs="Calibri"/>
          <w:b/>
          <w:bCs/>
          <w:color w:val="FFFFFF" w:themeColor="background1"/>
          <w:sz w:val="52"/>
          <w:szCs w:val="52"/>
          <w:lang w:val="fr-FR"/>
        </w:rPr>
        <w:t xml:space="preserve"> : </w:t>
      </w:r>
      <w:r>
        <w:rPr>
          <w:rFonts w:ascii="Calibri" w:hAnsi="Calibri" w:cs="Calibri"/>
          <w:b/>
          <w:bCs/>
          <w:color w:val="FFFFFF" w:themeColor="background1"/>
          <w:sz w:val="52"/>
          <w:szCs w:val="52"/>
          <w:lang w:val="fr-FR"/>
        </w:rPr>
        <w:t>ČLÁNEK</w:t>
      </w:r>
      <w:r w:rsidRPr="00953541">
        <w:rPr>
          <w:rFonts w:ascii="Calibri" w:hAnsi="Calibri" w:cs="Calibri"/>
          <w:b/>
          <w:bCs/>
          <w:color w:val="FFFFFF" w:themeColor="background1"/>
          <w:sz w:val="52"/>
          <w:szCs w:val="52"/>
          <w:lang w:val="fr-FR"/>
        </w:rPr>
        <w:t xml:space="preserve"> 18 </w:t>
      </w:r>
      <w:r>
        <w:rPr>
          <w:rFonts w:ascii="Calibri" w:hAnsi="Calibri" w:cs="Calibri"/>
          <w:b/>
          <w:bCs/>
          <w:color w:val="FFFFFF" w:themeColor="background1"/>
          <w:sz w:val="52"/>
          <w:szCs w:val="52"/>
          <w:lang w:val="fr-FR"/>
        </w:rPr>
        <w:t>LZEU</w:t>
      </w:r>
      <w:r w:rsidRPr="00953541">
        <w:rPr>
          <w:rFonts w:ascii="Calibri" w:hAnsi="Calibri" w:cs="Calibri"/>
          <w:b/>
          <w:bCs/>
          <w:color w:val="FFFFFF" w:themeColor="background1"/>
          <w:sz w:val="52"/>
          <w:szCs w:val="52"/>
          <w:lang w:val="fr-FR"/>
        </w:rPr>
        <w:t xml:space="preserve"> </w:t>
      </w:r>
    </w:p>
    <w:p w14:paraId="12B9FB3F" w14:textId="5750A73F" w:rsidR="00CA5340" w:rsidRDefault="00CA5340" w:rsidP="00953541">
      <w:pPr>
        <w:pStyle w:val="Normlnweb"/>
        <w:rPr>
          <w:rFonts w:ascii="Calibri" w:hAnsi="Calibri"/>
          <w:b/>
        </w:rPr>
      </w:pPr>
    </w:p>
    <w:p w14:paraId="79677D12" w14:textId="666CCC8A" w:rsidR="00953541" w:rsidRPr="00470C01" w:rsidRDefault="00953541" w:rsidP="003E5231">
      <w:pPr>
        <w:pStyle w:val="Normlnweb"/>
        <w:ind w:firstLine="708"/>
        <w:rPr>
          <w:rFonts w:ascii="Calibri" w:hAnsi="Calibri" w:cs="Calibri"/>
          <w:b/>
          <w:bCs/>
        </w:rPr>
      </w:pPr>
      <w:r>
        <w:rPr>
          <w:noProof/>
        </w:rPr>
        <w:pict w14:anchorId="3EC62402">
          <v:roundrect id="Zone de texte 2" o:spid="_x0000_s1028" style="position:absolute;left:0;text-align:left;margin-left:-7.15pt;margin-top:28.9pt;width:423.75pt;height:120.5pt;z-index:251662336;visibility:visible;mso-wrap-style:square;mso-width-percent:0;mso-height-percent:200;mso-wrap-distance-left:9pt;mso-wrap-distance-top:3.6pt;mso-wrap-distance-right:9pt;mso-wrap-distance-bottom:3.6pt;mso-position-horizontal-relative:margin;mso-position-vertical-relative:text;mso-width-percent: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RUeLAIAAKEEAAAOAAAAZHJzL2Uyb0RvYy54bWzEVNuO0zAQfUfiHyy/0ySlLd2o6WrpUoS0&#10;XMTCB7iO01jYHmO7TcrXM3bSboE3hMSLNZ5xzsyZM5PVba8VOQrnJZiKFpOcEmE41NLsK/r1y/bF&#10;khIfmKmZAiMqehKe3q6fP1t1thRTaEHVwhEEMb7sbEXbEGyZZZ63QjM/ASsMBhtwmgW8un1WO9Yh&#10;ulbZNM8XWQeutg648B6990OQrhN+0wgePjaNF4GoimJtIZ0unbt4ZusVK/eO2VbysQz2F1VoJg0m&#10;vUDds8DIwck/oLTkDjw0YcJBZ9A0kovEAdkU+W9sHltmReKCzfH20ib/72D5h+Oj/eRI6F9DjwIm&#10;Et4+AP/miYFNy8xe3DkHXStYjYmL2LKss74cP42t9qWPILvuPdQoMjsESEB943TsCvIkiI4CnC5N&#10;F30gHJ3zl8tiMZ1TwjFWzPLZYppkyVh5/tw6H94K0CQaFXVwMPVnlDblYMcHH2JNrDy/iyk9KFlv&#10;pVLpEsdJbJQjR4aDwDgXJgxc1UFj0YMfByofRwLdODiDe3l2Y4o0mBEpJfwliTKkq+jNHLn8nwK0&#10;DLhLSuqKppJHKlG4N6ZOkx6YVIONXJQZlYziDTKGftfjw6joDuoTaupg2BnccTRacD8o6XBfKuq/&#10;H5gTlKh3BufippjN4oKly2z+CkUk7jqyu44wwxGqooGSwdyEtJSpcfYO52crk6hPlYy14h6k1o87&#10;Gxft+p5ePf1Z1j8BAAD//wMAUEsDBBQABgAIAAAAIQCUdMNN4wAAAAwBAAAPAAAAZHJzL2Rvd25y&#10;ZXYueG1sTI9BS8NAEIXvgv9hGcGb3U1sWonZFC0UpHixtgRv22SSDWZnQ3abpv56tyc9PubjvW+y&#10;1WQ6NuLgWksSopkAhlTaqqVGwv5z8/AEzHlFleosoYQLOljltzeZSit7pg8cd75hoYRcqiRo7/uU&#10;c1dqNMrNbI8UbrUdjPIhDg2vBnUO5abjsRALblRLYUGrHtcay+/dyUg4lO+vOtmYoijqy/rrbVtv&#10;+59Ryvu76eUZmMfJ/8Fw1Q/qkAenoz1R5VgX8lJEAZXwKOYxsCshouUC2FFCEidz4HnG/z+R/wIA&#10;AP//AwBQSwECLQAUAAYACAAAACEAtoM4kv4AAADhAQAAEwAAAAAAAAAAAAAAAAAAAAAAW0NvbnRl&#10;bnRfVHlwZXNdLnhtbFBLAQItABQABgAIAAAAIQA4/SH/1gAAAJQBAAALAAAAAAAAAAAAAAAAAC8B&#10;AABfcmVscy8ucmVsc1BLAQItABQABgAIAAAAIQAuARUeLAIAAKEEAAAOAAAAAAAAAAAAAAAAAC4C&#10;AABkcnMvZTJvRG9jLnhtbFBLAQItABQABgAIAAAAIQCUdMNN4wAAAAwBAAAPAAAAAAAAAAAAAAAA&#10;AIYEAABkcnMvZG93bnJldi54bWxQSwUGAAAAAAQABADzAAAAlgUAAAAA&#10;" fillcolor="#d9e2f3 [660]" strokecolor="#d9e2f3 [660]">
            <v:stroke joinstyle="miter"/>
            <v:textbox style="mso-fit-shape-to-text:t">
              <w:txbxContent>
                <w:p w14:paraId="239E283E" w14:textId="3A73A891" w:rsidR="00953541" w:rsidRDefault="007132D0" w:rsidP="00953541">
                  <w:pPr>
                    <w:rPr>
                      <w:rFonts w:asciiTheme="majorHAnsi" w:hAnsiTheme="majorHAnsi" w:cstheme="majorHAnsi"/>
                      <w:b/>
                      <w:bCs/>
                      <w:i/>
                    </w:rPr>
                  </w:pPr>
                  <w:r>
                    <w:rPr>
                      <w:b/>
                      <w:i/>
                    </w:rPr>
                    <w:t>„</w:t>
                  </w:r>
                  <w:r w:rsidR="00953541" w:rsidRPr="00953541">
                    <w:rPr>
                      <w:rFonts w:asciiTheme="majorHAnsi" w:hAnsiTheme="majorHAnsi" w:cstheme="majorHAnsi"/>
                      <w:b/>
                      <w:bCs/>
                      <w:i/>
                    </w:rPr>
                    <w:t>Právo na azyl</w:t>
                  </w:r>
                </w:p>
                <w:p w14:paraId="0E4D08CF" w14:textId="77777777" w:rsidR="00953541" w:rsidRPr="00953541" w:rsidRDefault="00953541" w:rsidP="00953541">
                  <w:pPr>
                    <w:rPr>
                      <w:rFonts w:asciiTheme="majorHAnsi" w:hAnsiTheme="majorHAnsi" w:cstheme="majorHAnsi"/>
                      <w:b/>
                      <w:bCs/>
                      <w:i/>
                    </w:rPr>
                  </w:pPr>
                </w:p>
                <w:p w14:paraId="057A91FE" w14:textId="177797BC" w:rsidR="00953541" w:rsidRPr="00953541" w:rsidRDefault="00953541" w:rsidP="00953541">
                  <w:pPr>
                    <w:rPr>
                      <w:rFonts w:asciiTheme="majorHAnsi" w:hAnsiTheme="majorHAnsi" w:cstheme="majorHAnsi"/>
                      <w:i/>
                    </w:rPr>
                  </w:pPr>
                  <w:r w:rsidRPr="00953541">
                    <w:rPr>
                      <w:rFonts w:asciiTheme="majorHAnsi" w:hAnsiTheme="majorHAnsi" w:cstheme="majorHAnsi"/>
                      <w:i/>
                    </w:rPr>
                    <w:t>Právo na azyl je zaručeno při dodržování Ženevské úmluvy o právním postavení uprchlíků ze dne 28. července 1951 a Protokolu týkajícího se právního postavení uprchlíků ze dne 31. ledna 1967 a v souladu se Smlouvou o Evropské unii a Smlouvou o fungování Evropské unie.</w:t>
                  </w:r>
                  <w:r w:rsidR="007132D0">
                    <w:rPr>
                      <w:rFonts w:asciiTheme="majorHAnsi" w:hAnsiTheme="majorHAnsi" w:cstheme="majorHAnsi"/>
                      <w:i/>
                    </w:rPr>
                    <w:t>“</w:t>
                  </w:r>
                </w:p>
                <w:p w14:paraId="3F7EA496" w14:textId="77777777" w:rsidR="00953541" w:rsidRPr="00BA7FF3" w:rsidRDefault="00953541" w:rsidP="00953541"/>
              </w:txbxContent>
            </v:textbox>
            <w10:wrap type="square" anchorx="margin"/>
          </v:roundrect>
        </w:pict>
      </w:r>
    </w:p>
    <w:tbl>
      <w:tblPr>
        <w:tblStyle w:val="Mkatabulky"/>
        <w:tblW w:w="0" w:type="auto"/>
        <w:tblLook w:val="04A0" w:firstRow="1" w:lastRow="0" w:firstColumn="1" w:lastColumn="0" w:noHBand="0" w:noVBand="1"/>
      </w:tblPr>
      <w:tblGrid>
        <w:gridCol w:w="8494"/>
      </w:tblGrid>
      <w:tr w:rsidR="00CA5340" w:rsidRPr="00470C01" w14:paraId="22FEC99D" w14:textId="77777777" w:rsidTr="00CA5340">
        <w:tc>
          <w:tcPr>
            <w:tcW w:w="8494" w:type="dxa"/>
          </w:tcPr>
          <w:p w14:paraId="3B9D7784" w14:textId="77777777" w:rsidR="00CA5340" w:rsidRPr="00470C01" w:rsidRDefault="00CA5340" w:rsidP="00B409E0">
            <w:pPr>
              <w:jc w:val="both"/>
              <w:rPr>
                <w:rFonts w:ascii="Calibri" w:hAnsi="Calibri" w:cs="Calibri"/>
                <w:b/>
                <w:bCs/>
              </w:rPr>
            </w:pPr>
            <w:r>
              <w:rPr>
                <w:b/>
              </w:rPr>
              <w:t>Obsah</w:t>
            </w:r>
            <w:r w:rsidR="00B409E0">
              <w:rPr>
                <w:b/>
              </w:rPr>
              <w:t xml:space="preserve"> a </w:t>
            </w:r>
            <w:r>
              <w:rPr>
                <w:b/>
              </w:rPr>
              <w:t xml:space="preserve">působnost článku </w:t>
            </w:r>
          </w:p>
        </w:tc>
      </w:tr>
      <w:tr w:rsidR="00CA5340" w:rsidRPr="00470C01" w14:paraId="5A3D9486" w14:textId="77777777" w:rsidTr="00CA5340">
        <w:tc>
          <w:tcPr>
            <w:tcW w:w="8494" w:type="dxa"/>
          </w:tcPr>
          <w:p w14:paraId="23894A87" w14:textId="77777777" w:rsidR="00CA5340" w:rsidRPr="00602781" w:rsidRDefault="00CA5340" w:rsidP="00B409E0">
            <w:pPr>
              <w:jc w:val="both"/>
              <w:rPr>
                <w:i/>
                <w:iCs/>
              </w:rPr>
            </w:pPr>
          </w:p>
          <w:p w14:paraId="2344DEF8" w14:textId="77777777" w:rsidR="00425796" w:rsidRPr="00470C01" w:rsidRDefault="00425796" w:rsidP="00B409E0">
            <w:pPr>
              <w:jc w:val="both"/>
            </w:pPr>
            <w:r>
              <w:t>Právo na azyl podle článku 18 Listiny definuje všeobecnou povinnost Unie</w:t>
            </w:r>
            <w:r w:rsidR="00B409E0">
              <w:t xml:space="preserve"> a </w:t>
            </w:r>
            <w:r>
              <w:t>jejích členských států respektovat práva uprchlíků podle Úmluvy</w:t>
            </w:r>
            <w:r w:rsidR="00B409E0">
              <w:t xml:space="preserve"> o </w:t>
            </w:r>
            <w:r>
              <w:t>právním postavení uprchlíků (1954, dále jen „Ženevská úmluva“)</w:t>
            </w:r>
            <w:r w:rsidR="00B409E0">
              <w:t xml:space="preserve"> a </w:t>
            </w:r>
            <w:r>
              <w:t>jejího Protokolu</w:t>
            </w:r>
            <w:r w:rsidR="00B409E0">
              <w:t xml:space="preserve"> z </w:t>
            </w:r>
            <w:r>
              <w:t>roku 1967.</w:t>
            </w:r>
          </w:p>
          <w:p w14:paraId="242A88E4" w14:textId="77777777" w:rsidR="00470C01" w:rsidRPr="00602781" w:rsidRDefault="00470C01" w:rsidP="00B409E0">
            <w:pPr>
              <w:jc w:val="both"/>
            </w:pPr>
          </w:p>
          <w:p w14:paraId="0ED26088" w14:textId="77777777" w:rsidR="00470C01" w:rsidRPr="00470C01" w:rsidRDefault="00470C01" w:rsidP="00B409E0">
            <w:pPr>
              <w:jc w:val="both"/>
            </w:pPr>
            <w:r>
              <w:t>Příslušný článek vychází</w:t>
            </w:r>
            <w:r w:rsidR="00B409E0">
              <w:t xml:space="preserve"> z </w:t>
            </w:r>
            <w:r>
              <w:t>článku 78 Smlouvy</w:t>
            </w:r>
            <w:r w:rsidR="00B409E0">
              <w:t xml:space="preserve"> o </w:t>
            </w:r>
            <w:r>
              <w:t>fungování Evropské unie (dříve článek 63 Smlouvy</w:t>
            </w:r>
            <w:r w:rsidR="00B409E0">
              <w:t xml:space="preserve"> o </w:t>
            </w:r>
            <w:r>
              <w:t>založení Evropského společenství). Toto ustanovení primárního práva EU umožňuje Unii vyvíjet společnou politiku týkající se azylu, doplňkové ochrany</w:t>
            </w:r>
            <w:r w:rsidR="00B409E0">
              <w:t xml:space="preserve"> a </w:t>
            </w:r>
            <w:r>
              <w:t>dočasné ochrany. Cílem je poskytnout každému státnímu příslušníkovi třetí země, který potřebuje mezinárodní ochranu, přiměřený status ochrany</w:t>
            </w:r>
            <w:r w:rsidR="00B409E0">
              <w:t xml:space="preserve"> a </w:t>
            </w:r>
            <w:r>
              <w:t>zajistit dodržování zásady nenavracení, jakož</w:t>
            </w:r>
            <w:r w:rsidR="00B409E0">
              <w:t xml:space="preserve"> i </w:t>
            </w:r>
            <w:r>
              <w:t>dalších mezinárodních pravidel ochrany lidí</w:t>
            </w:r>
            <w:r w:rsidR="00B409E0">
              <w:t xml:space="preserve"> v </w:t>
            </w:r>
            <w:r>
              <w:t>nouzi.</w:t>
            </w:r>
          </w:p>
          <w:p w14:paraId="37CE02BF" w14:textId="77777777" w:rsidR="00470C01" w:rsidRPr="00602781" w:rsidRDefault="00470C01" w:rsidP="00B409E0">
            <w:pPr>
              <w:jc w:val="both"/>
            </w:pPr>
          </w:p>
          <w:p w14:paraId="754C1BD8" w14:textId="77777777" w:rsidR="00425796" w:rsidRPr="00470C01" w:rsidRDefault="00425796" w:rsidP="00B409E0">
            <w:pPr>
              <w:jc w:val="both"/>
            </w:pPr>
            <w:r>
              <w:t>Tohoto cíle je postupně dosahováno přijímáním dokumentů zakládajících společný evropský azylový systém (SEAS), komplexní normativní rámec směrnic</w:t>
            </w:r>
            <w:r w:rsidR="00B409E0">
              <w:t xml:space="preserve"> a </w:t>
            </w:r>
            <w:r>
              <w:t>nařízení EU stanovících společná pravidla pro poskytování mezinárodní ochrany</w:t>
            </w:r>
            <w:r w:rsidR="00B409E0">
              <w:t xml:space="preserve"> a </w:t>
            </w:r>
            <w:r>
              <w:t>dočasné ochrany státním příslušníkům zemí mimo EU.</w:t>
            </w:r>
          </w:p>
          <w:p w14:paraId="03D53219" w14:textId="77777777" w:rsidR="00425796" w:rsidRPr="00602781" w:rsidRDefault="00425796" w:rsidP="00B409E0">
            <w:pPr>
              <w:jc w:val="both"/>
            </w:pPr>
          </w:p>
          <w:p w14:paraId="24EF89AE" w14:textId="77777777" w:rsidR="00425796" w:rsidRPr="00470C01" w:rsidRDefault="00425796" w:rsidP="00B409E0">
            <w:pPr>
              <w:jc w:val="both"/>
            </w:pPr>
            <w:r>
              <w:t xml:space="preserve">Článek 18 řeší trojí problematiku. </w:t>
            </w:r>
          </w:p>
          <w:p w14:paraId="14818C37" w14:textId="77777777" w:rsidR="00470C01" w:rsidRPr="00602781" w:rsidRDefault="00470C01" w:rsidP="00B409E0">
            <w:pPr>
              <w:jc w:val="both"/>
              <w:rPr>
                <w:b/>
                <w:bCs/>
              </w:rPr>
            </w:pPr>
          </w:p>
          <w:p w14:paraId="48ECCFB4" w14:textId="77777777" w:rsidR="008D6F2C" w:rsidRPr="00470C01" w:rsidRDefault="00470C01" w:rsidP="00B409E0">
            <w:pPr>
              <w:jc w:val="both"/>
              <w:rPr>
                <w:b/>
                <w:bCs/>
              </w:rPr>
            </w:pPr>
            <w:r>
              <w:rPr>
                <w:b/>
              </w:rPr>
              <w:t>Nárok? Na co</w:t>
            </w:r>
            <w:r w:rsidR="00B409E0">
              <w:rPr>
                <w:b/>
              </w:rPr>
              <w:t xml:space="preserve"> a </w:t>
            </w:r>
            <w:r>
              <w:rPr>
                <w:b/>
              </w:rPr>
              <w:t>pro koho?</w:t>
            </w:r>
          </w:p>
          <w:p w14:paraId="3FE90F4C" w14:textId="77777777" w:rsidR="008D6F2C" w:rsidRPr="00470C01" w:rsidRDefault="008D6F2C" w:rsidP="00B409E0">
            <w:pPr>
              <w:jc w:val="both"/>
              <w:rPr>
                <w:lang w:val="en-US"/>
              </w:rPr>
            </w:pPr>
          </w:p>
          <w:p w14:paraId="6AFCA774" w14:textId="77777777" w:rsidR="00470C01" w:rsidRDefault="00470C01" w:rsidP="00B409E0">
            <w:pPr>
              <w:jc w:val="both"/>
            </w:pPr>
            <w:r>
              <w:t>Pokud jde</w:t>
            </w:r>
            <w:r w:rsidR="00B409E0">
              <w:t xml:space="preserve"> o </w:t>
            </w:r>
            <w:r>
              <w:t>věcný rozsah práva na azyl, formulace</w:t>
            </w:r>
            <w:r w:rsidR="00B409E0">
              <w:t xml:space="preserve"> a </w:t>
            </w:r>
            <w:r>
              <w:t>název článku 18 zjevně vyžadují podrobnější vysvětlení. Vyvstává první otázka: Co je azyl?</w:t>
            </w:r>
            <w:r w:rsidR="00B409E0">
              <w:t xml:space="preserve"> A </w:t>
            </w:r>
            <w:r>
              <w:t xml:space="preserve">dále, kdo je jeho beneficientem? </w:t>
            </w:r>
          </w:p>
          <w:p w14:paraId="79B10CF7" w14:textId="77777777" w:rsidR="00470C01" w:rsidRPr="00470C01" w:rsidRDefault="00470C01" w:rsidP="00B409E0">
            <w:pPr>
              <w:jc w:val="both"/>
              <w:rPr>
                <w:lang w:val="en-US"/>
              </w:rPr>
            </w:pPr>
          </w:p>
          <w:p w14:paraId="184B5B71" w14:textId="77777777" w:rsidR="00470C01" w:rsidRPr="00470C01" w:rsidRDefault="00470C01" w:rsidP="00B409E0">
            <w:pPr>
              <w:jc w:val="both"/>
            </w:pPr>
            <w:r>
              <w:t>V mezinárodním právu je institut </w:t>
            </w:r>
            <w:r>
              <w:rPr>
                <w:rStyle w:val="Zdraznn"/>
                <w:color w:val="0E101A"/>
              </w:rPr>
              <w:t>azylu</w:t>
            </w:r>
            <w:r>
              <w:t xml:space="preserve"> obecně chápán jako poskytnutí ochrany cizincům na území hostitelského státu proti aktům pronásledování</w:t>
            </w:r>
            <w:r w:rsidR="00B409E0">
              <w:t xml:space="preserve"> v </w:t>
            </w:r>
            <w:r>
              <w:t>zemi původu dotyčných cizinců. Termín „azyl“ je rovněž ústředním pojmem</w:t>
            </w:r>
            <w:r w:rsidR="00B409E0">
              <w:t xml:space="preserve"> v </w:t>
            </w:r>
            <w:r>
              <w:t>kontextu článku 18 Listiny.</w:t>
            </w:r>
            <w:r w:rsidR="00B409E0">
              <w:t xml:space="preserve"> A </w:t>
            </w:r>
            <w:r>
              <w:t>jak vyplývá ze sekundární legislativy EU</w:t>
            </w:r>
            <w:r w:rsidR="00B409E0">
              <w:t xml:space="preserve"> i </w:t>
            </w:r>
            <w:r>
              <w:t>rozsáhlé judikatury SDEU, tento pojem by zde mohl mít obdobně široký význam.</w:t>
            </w:r>
          </w:p>
          <w:p w14:paraId="1DFFAD55" w14:textId="77777777" w:rsidR="00470C01" w:rsidRPr="00602781" w:rsidRDefault="00470C01" w:rsidP="00B409E0">
            <w:pPr>
              <w:jc w:val="both"/>
              <w:rPr>
                <w:noProof/>
              </w:rPr>
            </w:pPr>
          </w:p>
          <w:p w14:paraId="74A960F4" w14:textId="77777777" w:rsidR="00470C01" w:rsidRPr="00470C01" w:rsidRDefault="00470C01" w:rsidP="00B409E0">
            <w:pPr>
              <w:jc w:val="both"/>
            </w:pPr>
            <w:r>
              <w:t xml:space="preserve">Zaprvé, článek 18 Listiny výslovně odkazuje na Ženevskou úmluvu. To je velmi významné, neboť Ženevská úmluva představuje základní kámen mezinárodního uprchlického práva: definuje, kdo je </w:t>
            </w:r>
            <w:r>
              <w:rPr>
                <w:i/>
                <w:iCs/>
              </w:rPr>
              <w:t>uprchlík</w:t>
            </w:r>
            <w:r w:rsidR="00B409E0">
              <w:t xml:space="preserve"> a </w:t>
            </w:r>
            <w:r>
              <w:t>jaká práva mají být takové osobě poskytována, včetně klíčové povinnosti států nenavracet osobu do země, kde by se její život nebo svoboda octly</w:t>
            </w:r>
            <w:r w:rsidR="00B409E0">
              <w:t xml:space="preserve"> v </w:t>
            </w:r>
            <w:r>
              <w:t xml:space="preserve">nebezpečí (zásada </w:t>
            </w:r>
            <w:r>
              <w:rPr>
                <w:i/>
                <w:iCs/>
              </w:rPr>
              <w:t>non-</w:t>
            </w:r>
            <w:proofErr w:type="spellStart"/>
            <w:r>
              <w:rPr>
                <w:i/>
                <w:iCs/>
              </w:rPr>
              <w:t>refoulement</w:t>
            </w:r>
            <w:proofErr w:type="spellEnd"/>
            <w:r>
              <w:t>).</w:t>
            </w:r>
          </w:p>
          <w:p w14:paraId="20F970FF" w14:textId="77777777" w:rsidR="00DB52D0" w:rsidRPr="00602781" w:rsidRDefault="00DB52D0" w:rsidP="00B409E0">
            <w:pPr>
              <w:jc w:val="both"/>
              <w:rPr>
                <w:rFonts w:ascii="Calibri" w:hAnsi="Calibri" w:cs="Calibri"/>
              </w:rPr>
            </w:pPr>
          </w:p>
          <w:p w14:paraId="1C709FF6" w14:textId="77777777" w:rsidR="00846D63" w:rsidRDefault="00470C01" w:rsidP="00B409E0">
            <w:pPr>
              <w:jc w:val="both"/>
              <w:rPr>
                <w:rFonts w:ascii="Calibri" w:hAnsi="Calibri" w:cs="Calibri"/>
              </w:rPr>
            </w:pPr>
            <w:r>
              <w:rPr>
                <w:rFonts w:ascii="Calibri" w:hAnsi="Calibri"/>
              </w:rPr>
              <w:t>Zadruhé, žádný</w:t>
            </w:r>
            <w:r w:rsidR="00B409E0">
              <w:rPr>
                <w:rFonts w:ascii="Calibri" w:hAnsi="Calibri"/>
              </w:rPr>
              <w:t xml:space="preserve"> z </w:t>
            </w:r>
            <w:r>
              <w:rPr>
                <w:rFonts w:ascii="Calibri" w:hAnsi="Calibri"/>
              </w:rPr>
              <w:t>nástrojů SEAS (na rozdíl od SFEU</w:t>
            </w:r>
            <w:r w:rsidR="00B409E0">
              <w:rPr>
                <w:rFonts w:ascii="Calibri" w:hAnsi="Calibri"/>
              </w:rPr>
              <w:t xml:space="preserve"> a </w:t>
            </w:r>
            <w:r>
              <w:rPr>
                <w:rFonts w:ascii="Calibri" w:hAnsi="Calibri"/>
              </w:rPr>
              <w:t>Listiny, zdrojů primárního práva EU) nepoukazuje nijak na specifické postavení „azylu“. Předpisy</w:t>
            </w:r>
            <w:r w:rsidR="00B409E0">
              <w:rPr>
                <w:rFonts w:ascii="Calibri" w:hAnsi="Calibri"/>
              </w:rPr>
              <w:t xml:space="preserve"> v </w:t>
            </w:r>
            <w:r>
              <w:rPr>
                <w:rFonts w:ascii="Calibri" w:hAnsi="Calibri"/>
              </w:rPr>
              <w:t>rámci unijní azylové legislativy (tzv. kvalifikační směrnice)</w:t>
            </w:r>
            <w:r w:rsidR="00B409E0">
              <w:rPr>
                <w:rFonts w:ascii="Calibri" w:hAnsi="Calibri"/>
              </w:rPr>
              <w:t xml:space="preserve"> z </w:t>
            </w:r>
            <w:r>
              <w:rPr>
                <w:rFonts w:ascii="Calibri" w:hAnsi="Calibri"/>
              </w:rPr>
              <w:t>oblasti SEAS však plně inkorporují postavení uprchlíků</w:t>
            </w:r>
            <w:r w:rsidR="00B409E0">
              <w:rPr>
                <w:rFonts w:ascii="Calibri" w:hAnsi="Calibri"/>
              </w:rPr>
              <w:t xml:space="preserve"> a </w:t>
            </w:r>
            <w:r>
              <w:rPr>
                <w:rFonts w:ascii="Calibri" w:hAnsi="Calibri"/>
              </w:rPr>
              <w:t>definici uprchlíka podle Ženevské úmluvy do unijního práva</w:t>
            </w:r>
            <w:r w:rsidR="00B409E0">
              <w:rPr>
                <w:rFonts w:ascii="Calibri" w:hAnsi="Calibri"/>
              </w:rPr>
              <w:t xml:space="preserve"> a </w:t>
            </w:r>
            <w:r>
              <w:rPr>
                <w:rFonts w:ascii="Calibri" w:hAnsi="Calibri"/>
              </w:rPr>
              <w:t>doplňují systém</w:t>
            </w:r>
            <w:r w:rsidR="00B409E0">
              <w:rPr>
                <w:rFonts w:ascii="Calibri" w:hAnsi="Calibri"/>
              </w:rPr>
              <w:t xml:space="preserve"> o </w:t>
            </w:r>
            <w:r>
              <w:rPr>
                <w:rFonts w:ascii="Calibri" w:hAnsi="Calibri"/>
              </w:rPr>
              <w:t>další dva ochranné statusy:</w:t>
            </w:r>
          </w:p>
          <w:p w14:paraId="27B5521F" w14:textId="77777777" w:rsidR="00846D63" w:rsidRPr="00602781" w:rsidRDefault="00846D63" w:rsidP="00B409E0">
            <w:pPr>
              <w:jc w:val="both"/>
              <w:rPr>
                <w:rFonts w:ascii="Calibri" w:hAnsi="Calibri" w:cs="Calibri"/>
              </w:rPr>
            </w:pPr>
          </w:p>
          <w:p w14:paraId="721C3A1D" w14:textId="77777777" w:rsidR="00846D63" w:rsidRDefault="00846D63" w:rsidP="00B409E0">
            <w:pPr>
              <w:jc w:val="both"/>
              <w:rPr>
                <w:rFonts w:ascii="Calibri" w:hAnsi="Calibri" w:cs="Calibri"/>
              </w:rPr>
            </w:pPr>
            <w:r>
              <w:rPr>
                <w:rFonts w:ascii="Calibri" w:hAnsi="Calibri"/>
              </w:rPr>
              <w:t>(1) status doplňkové ochrany reflektující závazek členských států dodržovat lidská práva, jenž reaguje na legitimní potřebu ochrany osob, které nejsou kvalifikovány jako uprchlíci dle mezinárodního práva. Přijetím statusu doplňkové ochrany rozšířila Evropská unie ochranný režim účinně nad rámec standardů stanovených Ženevskou úmluvou. Jinými slovy, unijní právo rozšířilo ochranu</w:t>
            </w:r>
            <w:r w:rsidR="00B409E0">
              <w:rPr>
                <w:rFonts w:ascii="Calibri" w:hAnsi="Calibri"/>
              </w:rPr>
              <w:t xml:space="preserve"> v </w:t>
            </w:r>
            <w:r>
              <w:rPr>
                <w:rFonts w:ascii="Calibri" w:hAnsi="Calibri"/>
              </w:rPr>
              <w:t>podstatném rozsahu na osoby, na něž se nevztahuje ochrana podle Ženevské úmluvy. Postavení uprchlíka</w:t>
            </w:r>
            <w:r w:rsidR="00B409E0">
              <w:rPr>
                <w:rFonts w:ascii="Calibri" w:hAnsi="Calibri"/>
              </w:rPr>
              <w:t xml:space="preserve"> a </w:t>
            </w:r>
            <w:r>
              <w:rPr>
                <w:rFonts w:ascii="Calibri" w:hAnsi="Calibri"/>
              </w:rPr>
              <w:t>doplňková ochrana se</w:t>
            </w:r>
            <w:r w:rsidR="00B409E0">
              <w:rPr>
                <w:rFonts w:ascii="Calibri" w:hAnsi="Calibri"/>
              </w:rPr>
              <w:t xml:space="preserve"> v </w:t>
            </w:r>
            <w:r>
              <w:rPr>
                <w:rFonts w:ascii="Calibri" w:hAnsi="Calibri"/>
              </w:rPr>
              <w:t xml:space="preserve">rámci unijní azylové legislativy společně nazývají jako „mezinárodní ochrana“; </w:t>
            </w:r>
          </w:p>
          <w:p w14:paraId="3FEE55FC" w14:textId="77777777" w:rsidR="00846D63" w:rsidRPr="00602781" w:rsidRDefault="00846D63" w:rsidP="00B409E0">
            <w:pPr>
              <w:jc w:val="both"/>
              <w:rPr>
                <w:rFonts w:ascii="Calibri" w:hAnsi="Calibri" w:cs="Calibri"/>
              </w:rPr>
            </w:pPr>
          </w:p>
          <w:p w14:paraId="35656A4E" w14:textId="77777777" w:rsidR="00470C01" w:rsidRPr="00470C01" w:rsidRDefault="00846D63" w:rsidP="00B409E0">
            <w:pPr>
              <w:jc w:val="both"/>
              <w:rPr>
                <w:rFonts w:ascii="Calibri" w:hAnsi="Calibri" w:cs="Calibri"/>
              </w:rPr>
            </w:pPr>
            <w:r>
              <w:rPr>
                <w:rFonts w:ascii="Calibri" w:hAnsi="Calibri"/>
              </w:rPr>
              <w:t>(2) status dočasné ochrany (založený tzv. směrnicí</w:t>
            </w:r>
            <w:r w:rsidR="00B409E0">
              <w:rPr>
                <w:rFonts w:ascii="Calibri" w:hAnsi="Calibri"/>
              </w:rPr>
              <w:t xml:space="preserve"> o </w:t>
            </w:r>
            <w:r>
              <w:rPr>
                <w:rFonts w:ascii="Calibri" w:hAnsi="Calibri"/>
              </w:rPr>
              <w:t>dočasné ochraně), který se stal relevantním jako nástroj „skupinové“ ochrany</w:t>
            </w:r>
            <w:r w:rsidR="00B409E0">
              <w:rPr>
                <w:rFonts w:ascii="Calibri" w:hAnsi="Calibri"/>
              </w:rPr>
              <w:t xml:space="preserve"> a </w:t>
            </w:r>
            <w:r>
              <w:rPr>
                <w:rFonts w:ascii="Calibri" w:hAnsi="Calibri"/>
              </w:rPr>
              <w:t>byl poprvé aktivován</w:t>
            </w:r>
            <w:r w:rsidR="00B409E0">
              <w:rPr>
                <w:rFonts w:ascii="Calibri" w:hAnsi="Calibri"/>
              </w:rPr>
              <w:t xml:space="preserve"> v </w:t>
            </w:r>
            <w:r>
              <w:rPr>
                <w:rFonts w:ascii="Calibri" w:hAnsi="Calibri"/>
              </w:rPr>
              <w:t>roce 2022 jako reakce na ruskou agresi na Ukrajině.</w:t>
            </w:r>
          </w:p>
          <w:p w14:paraId="0EAC104D" w14:textId="77777777" w:rsidR="00470C01" w:rsidRPr="00470C01" w:rsidRDefault="00470C01" w:rsidP="00B409E0">
            <w:pPr>
              <w:jc w:val="both"/>
            </w:pPr>
          </w:p>
          <w:p w14:paraId="79FA04E7" w14:textId="77777777" w:rsidR="00425796" w:rsidRDefault="00846D63" w:rsidP="00B409E0">
            <w:pPr>
              <w:jc w:val="both"/>
            </w:pPr>
            <w:r>
              <w:t>Článek 18 má rovněž význam, pokud jde</w:t>
            </w:r>
            <w:r w:rsidR="00B409E0">
              <w:t xml:space="preserve"> o </w:t>
            </w:r>
            <w:r>
              <w:t>jeho formulaci. Žádný jiný dokument</w:t>
            </w:r>
            <w:r w:rsidR="00B409E0">
              <w:t xml:space="preserve"> o </w:t>
            </w:r>
            <w:r>
              <w:t>lidských právech, kromě Všeobecné deklarace lidských práv, dosud nedefinoval individuální právo na azyl. Ovšem</w:t>
            </w:r>
            <w:r w:rsidR="00B409E0">
              <w:t xml:space="preserve"> i </w:t>
            </w:r>
            <w:r>
              <w:t>v případě Všeobecné deklarace lidských práv je jednotlivci pouze zaručena možnost vyhledat si před pronásledováním útočiště</w:t>
            </w:r>
            <w:r w:rsidR="00B409E0">
              <w:t xml:space="preserve"> a </w:t>
            </w:r>
            <w:r>
              <w:t>požívat tam azylu. Výjimečný charakter článku 18 je rovněž zjevný při pohledu na další regionální dokumenty</w:t>
            </w:r>
            <w:r w:rsidR="00B409E0">
              <w:t xml:space="preserve"> o </w:t>
            </w:r>
            <w:r>
              <w:t>lidských právech, neboť ani regionálně významná Evropská úmluva</w:t>
            </w:r>
            <w:r w:rsidR="00B409E0">
              <w:t xml:space="preserve"> o </w:t>
            </w:r>
            <w:r>
              <w:t xml:space="preserve">lidských právech (EÚLP) neobsahuje právo </w:t>
            </w:r>
            <w:r>
              <w:rPr>
                <w:i/>
                <w:iCs/>
              </w:rPr>
              <w:t>výslovně</w:t>
            </w:r>
            <w:r>
              <w:t xml:space="preserve"> spojené</w:t>
            </w:r>
            <w:r w:rsidR="00B409E0">
              <w:t xml:space="preserve"> s </w:t>
            </w:r>
            <w:r>
              <w:t xml:space="preserve">poskytnutím azylu nebo útočiště pro uprchlíky. </w:t>
            </w:r>
          </w:p>
          <w:p w14:paraId="079B1532" w14:textId="77777777" w:rsidR="00846D63" w:rsidRPr="00602781" w:rsidRDefault="00846D63" w:rsidP="00B409E0">
            <w:pPr>
              <w:jc w:val="both"/>
            </w:pPr>
          </w:p>
          <w:p w14:paraId="6388DBA1" w14:textId="77777777" w:rsidR="00425796" w:rsidRPr="00470C01" w:rsidRDefault="00425796" w:rsidP="00B409E0">
            <w:pPr>
              <w:jc w:val="both"/>
              <w:rPr>
                <w:b/>
                <w:bCs/>
              </w:rPr>
            </w:pPr>
            <w:r>
              <w:rPr>
                <w:b/>
              </w:rPr>
              <w:t xml:space="preserve">Přijetí procesních norem: </w:t>
            </w:r>
            <w:r w:rsidR="00C47234">
              <w:rPr>
                <w:b/>
              </w:rPr>
              <w:t>v</w:t>
            </w:r>
            <w:r>
              <w:rPr>
                <w:b/>
              </w:rPr>
              <w:t>yplňování mezer</w:t>
            </w:r>
            <w:r w:rsidR="00B409E0">
              <w:rPr>
                <w:b/>
              </w:rPr>
              <w:t xml:space="preserve"> v </w:t>
            </w:r>
            <w:r>
              <w:rPr>
                <w:b/>
              </w:rPr>
              <w:t>mezinárodním právu</w:t>
            </w:r>
          </w:p>
          <w:p w14:paraId="145E9FBC" w14:textId="77777777" w:rsidR="008D6F2C" w:rsidRPr="00602781" w:rsidRDefault="008D6F2C" w:rsidP="00B409E0">
            <w:pPr>
              <w:jc w:val="both"/>
              <w:rPr>
                <w:b/>
                <w:bCs/>
              </w:rPr>
            </w:pPr>
          </w:p>
          <w:p w14:paraId="0D22A686" w14:textId="77777777" w:rsidR="00846D63" w:rsidRDefault="00846D63" w:rsidP="00B409E0">
            <w:pPr>
              <w:jc w:val="both"/>
            </w:pPr>
            <w:r>
              <w:t>Ačkoli Ženevská úmluva zůstává základním kamenem mezinárodních ochrany uprchlíků, na němž je založena unijní azylová legislativa, chybí</w:t>
            </w:r>
            <w:r w:rsidR="00B409E0">
              <w:t xml:space="preserve"> v </w:t>
            </w:r>
            <w:r>
              <w:t>ní procesní standardy pro posuzování individuálních žádostí</w:t>
            </w:r>
            <w:r w:rsidR="00B409E0">
              <w:t xml:space="preserve"> o </w:t>
            </w:r>
            <w:r>
              <w:t>ochranu. To otvírá širokou mezeru</w:t>
            </w:r>
            <w:r w:rsidR="00B409E0">
              <w:t xml:space="preserve"> v </w:t>
            </w:r>
            <w:r>
              <w:t>ochraně uprchlíků</w:t>
            </w:r>
            <w:r w:rsidR="00B409E0">
              <w:t xml:space="preserve"> v </w:t>
            </w:r>
            <w:r>
              <w:t>mezinárodním právu.</w:t>
            </w:r>
          </w:p>
          <w:p w14:paraId="055B1124" w14:textId="77777777" w:rsidR="00DB52D0" w:rsidRPr="00602781" w:rsidRDefault="00DB52D0" w:rsidP="00B409E0">
            <w:pPr>
              <w:jc w:val="both"/>
            </w:pPr>
          </w:p>
          <w:p w14:paraId="11AD36DF" w14:textId="77777777" w:rsidR="00846D63" w:rsidRDefault="00DB52D0" w:rsidP="00B409E0">
            <w:pPr>
              <w:jc w:val="both"/>
            </w:pPr>
            <w:r>
              <w:t>Z toho důvodu představuje harmonizace společných procesních standardů významný příspěvek</w:t>
            </w:r>
            <w:r w:rsidR="00B409E0">
              <w:t xml:space="preserve"> k </w:t>
            </w:r>
            <w:r>
              <w:t>unijní azylové legislativě. Unijní právo</w:t>
            </w:r>
            <w:r w:rsidR="00B409E0">
              <w:t xml:space="preserve"> a </w:t>
            </w:r>
            <w:r>
              <w:t>nástroje SEAS upravují napříč členskými státy jednotný postup při udělování mezinárodní ochrany žadatelům</w:t>
            </w:r>
            <w:r w:rsidR="00B409E0">
              <w:t xml:space="preserve"> s </w:t>
            </w:r>
            <w:r>
              <w:t>jednotnou sadou práv, čímž velkou mezeru plynoucí</w:t>
            </w:r>
            <w:r w:rsidR="00B409E0">
              <w:t xml:space="preserve"> z </w:t>
            </w:r>
            <w:r>
              <w:t>mezinárodního práva vyplňují.</w:t>
            </w:r>
          </w:p>
          <w:p w14:paraId="3D1EC39B" w14:textId="77777777" w:rsidR="00DB52D0" w:rsidRPr="00602781" w:rsidRDefault="00DB52D0" w:rsidP="00B409E0">
            <w:pPr>
              <w:jc w:val="both"/>
            </w:pPr>
          </w:p>
          <w:p w14:paraId="6042ECCB" w14:textId="77777777" w:rsidR="00846D63" w:rsidRDefault="00846D63" w:rsidP="00B409E0">
            <w:pPr>
              <w:jc w:val="both"/>
            </w:pPr>
            <w:r>
              <w:t>S ohledem na neexistenci vnitřních hranic</w:t>
            </w:r>
            <w:r w:rsidR="00B409E0">
              <w:t xml:space="preserve"> v </w:t>
            </w:r>
            <w:r>
              <w:t xml:space="preserve">rámci Schengenského prostoru obsahuje </w:t>
            </w:r>
            <w:r>
              <w:lastRenderedPageBreak/>
              <w:t>společný evropský azylový systém pravidla</w:t>
            </w:r>
            <w:r w:rsidR="00B409E0">
              <w:t xml:space="preserve"> o </w:t>
            </w:r>
            <w:r>
              <w:t>povinném určení členského státu zodpovědného za přezkum žádosti</w:t>
            </w:r>
            <w:r w:rsidR="00B409E0">
              <w:t xml:space="preserve"> o </w:t>
            </w:r>
            <w:r>
              <w:t>mezinárodní ochranu.</w:t>
            </w:r>
            <w:r w:rsidR="00B409E0">
              <w:t xml:space="preserve"> V </w:t>
            </w:r>
            <w:r>
              <w:t>tomto případě je eliminován fenomén „azylové turistiky“, neboť žadatel</w:t>
            </w:r>
            <w:r w:rsidR="00B409E0">
              <w:t xml:space="preserve"> o </w:t>
            </w:r>
            <w:r>
              <w:t>mezinárodní ochranu si nemůže vybrat členský stát, který jeho žádost přezkoumá. Naopak tzv. dublinské nařízení určuje odpovědný členský stát předem. Tento systém však rovněž řeší opačný případ „obíhajících uprchlíků“, což je situace,</w:t>
            </w:r>
            <w:r w:rsidR="00B409E0">
              <w:t xml:space="preserve"> v </w:t>
            </w:r>
            <w:r>
              <w:t>níž se žádný stát</w:t>
            </w:r>
            <w:r w:rsidR="00B409E0">
              <w:t xml:space="preserve"> k </w:t>
            </w:r>
            <w:r>
              <w:t>řešení žádosti</w:t>
            </w:r>
            <w:r w:rsidR="00B409E0">
              <w:t xml:space="preserve"> o </w:t>
            </w:r>
            <w:r>
              <w:t>mezinárodní ochranu necítí být příslušným.</w:t>
            </w:r>
          </w:p>
          <w:p w14:paraId="02831FA3" w14:textId="77777777" w:rsidR="00846D63" w:rsidRPr="00602781" w:rsidRDefault="00846D63" w:rsidP="00B409E0">
            <w:pPr>
              <w:jc w:val="both"/>
              <w:rPr>
                <w:b/>
                <w:bCs/>
              </w:rPr>
            </w:pPr>
          </w:p>
          <w:p w14:paraId="7B61554D" w14:textId="77777777" w:rsidR="00425796" w:rsidRDefault="00425796" w:rsidP="00B409E0">
            <w:pPr>
              <w:jc w:val="both"/>
              <w:rPr>
                <w:b/>
                <w:bCs/>
              </w:rPr>
            </w:pPr>
            <w:r>
              <w:rPr>
                <w:b/>
              </w:rPr>
              <w:t>Zásada nenavracení jako základní závazek azylového práva</w:t>
            </w:r>
          </w:p>
          <w:p w14:paraId="601267CE" w14:textId="77777777" w:rsidR="00DB52D0" w:rsidRPr="00602781" w:rsidRDefault="00DB52D0" w:rsidP="00B409E0">
            <w:pPr>
              <w:jc w:val="both"/>
            </w:pPr>
          </w:p>
          <w:p w14:paraId="3D252BEB" w14:textId="77777777" w:rsidR="00846D63" w:rsidRDefault="00846D63" w:rsidP="00B409E0">
            <w:pPr>
              <w:jc w:val="both"/>
            </w:pPr>
            <w:r>
              <w:t>Závěrem je třeba připomenout, že od práva na azyl nemůže být oddělena základní zásada nenavracení. Otázka nenavracení není přímo zmiňována jako součást článku 18, naproti tomu je implicitně zahrnuta do článku 19 Listiny. Zásada nenavracení však přesto představuje více než jen povinnost členského státu.</w:t>
            </w:r>
          </w:p>
          <w:p w14:paraId="5612A74B" w14:textId="77777777" w:rsidR="00DB52D0" w:rsidRPr="00602781" w:rsidRDefault="00DB52D0" w:rsidP="00B409E0">
            <w:pPr>
              <w:jc w:val="both"/>
            </w:pPr>
          </w:p>
          <w:p w14:paraId="24A8C8AE" w14:textId="77777777" w:rsidR="00DB52D0" w:rsidRPr="00846D63" w:rsidRDefault="00DB52D0" w:rsidP="00B409E0">
            <w:pPr>
              <w:jc w:val="both"/>
            </w:pPr>
            <w:r>
              <w:t>Tvoří neoddělitelnou součást práva na azyl. Jedná se</w:t>
            </w:r>
            <w:r w:rsidR="00B409E0">
              <w:t xml:space="preserve"> o </w:t>
            </w:r>
            <w:r>
              <w:t>nejzákladnější povinnost členského státu, která musí být respektována za všech okolností. Kromě toho se</w:t>
            </w:r>
            <w:r w:rsidR="00B409E0">
              <w:t xml:space="preserve"> s </w:t>
            </w:r>
            <w:r>
              <w:t>ohledem na propojenost azylového práva</w:t>
            </w:r>
            <w:r w:rsidR="00B409E0">
              <w:t xml:space="preserve"> s </w:t>
            </w:r>
            <w:r>
              <w:t>ochranou lidských práv zásada nenavracení stala bezpodmínečnou normou, jež nemůže být žádným způsobem omezena. To je rovněž respektováno různými dokumenty SEAS zavádějícími opatření</w:t>
            </w:r>
            <w:r w:rsidR="00B409E0">
              <w:t xml:space="preserve"> s </w:t>
            </w:r>
            <w:r>
              <w:t>cílem navrácení (tzv. směrnice</w:t>
            </w:r>
            <w:r w:rsidR="00B409E0">
              <w:t xml:space="preserve"> o </w:t>
            </w:r>
            <w:r>
              <w:t>navracení).</w:t>
            </w:r>
          </w:p>
          <w:p w14:paraId="7A278C48" w14:textId="77777777" w:rsidR="00CA5340" w:rsidRPr="00602781" w:rsidRDefault="00CA5340" w:rsidP="00B409E0">
            <w:pPr>
              <w:jc w:val="both"/>
              <w:rPr>
                <w:rFonts w:ascii="Calibri" w:hAnsi="Calibri" w:cs="Calibri"/>
                <w:i/>
                <w:iCs/>
              </w:rPr>
            </w:pPr>
          </w:p>
        </w:tc>
      </w:tr>
      <w:tr w:rsidR="00CA5340" w:rsidRPr="00470C01" w14:paraId="193E8501" w14:textId="77777777" w:rsidTr="00CA5340">
        <w:tc>
          <w:tcPr>
            <w:tcW w:w="8494" w:type="dxa"/>
          </w:tcPr>
          <w:p w14:paraId="0777C7F4" w14:textId="77777777" w:rsidR="00CA5340" w:rsidRPr="00470C01" w:rsidRDefault="00CA5340" w:rsidP="00B409E0">
            <w:pPr>
              <w:jc w:val="both"/>
              <w:rPr>
                <w:rFonts w:ascii="Calibri" w:hAnsi="Calibri" w:cs="Calibri"/>
              </w:rPr>
            </w:pPr>
            <w:r>
              <w:rPr>
                <w:b/>
              </w:rPr>
              <w:lastRenderedPageBreak/>
              <w:t>Judikatura SDEU</w:t>
            </w:r>
          </w:p>
        </w:tc>
      </w:tr>
      <w:tr w:rsidR="00CA5340" w:rsidRPr="00470C01" w14:paraId="2C723CBC" w14:textId="77777777" w:rsidTr="00CA5340">
        <w:tc>
          <w:tcPr>
            <w:tcW w:w="8494" w:type="dxa"/>
          </w:tcPr>
          <w:p w14:paraId="0E813508" w14:textId="77777777" w:rsidR="00846D63" w:rsidRDefault="00846D63" w:rsidP="00B409E0">
            <w:pPr>
              <w:pStyle w:val="Odstavecseseznamem"/>
              <w:ind w:left="709"/>
              <w:jc w:val="both"/>
              <w:rPr>
                <w:b/>
                <w:bCs/>
              </w:rPr>
            </w:pPr>
          </w:p>
          <w:p w14:paraId="0DDC3A31" w14:textId="77777777" w:rsidR="00846D63" w:rsidRPr="00C47234" w:rsidRDefault="00846D63" w:rsidP="00B409E0">
            <w:pPr>
              <w:jc w:val="both"/>
              <w:rPr>
                <w:b/>
                <w:bCs/>
              </w:rPr>
            </w:pPr>
            <w:r w:rsidRPr="00C47234">
              <w:rPr>
                <w:b/>
              </w:rPr>
              <w:t>Rozsudek Soudního dvora ve věci C-556/17 (</w:t>
            </w:r>
            <w:proofErr w:type="spellStart"/>
            <w:r w:rsidRPr="00C47234">
              <w:rPr>
                <w:b/>
                <w:i/>
              </w:rPr>
              <w:t>Alekszij</w:t>
            </w:r>
            <w:proofErr w:type="spellEnd"/>
            <w:r w:rsidRPr="00C47234">
              <w:rPr>
                <w:b/>
                <w:i/>
              </w:rPr>
              <w:t xml:space="preserve"> </w:t>
            </w:r>
            <w:proofErr w:type="spellStart"/>
            <w:r w:rsidRPr="00C47234">
              <w:rPr>
                <w:b/>
                <w:i/>
              </w:rPr>
              <w:t>Torubarov</w:t>
            </w:r>
            <w:proofErr w:type="spellEnd"/>
            <w:r w:rsidRPr="00C47234">
              <w:rPr>
                <w:b/>
              </w:rPr>
              <w:t>, 29. června 2019), žádost</w:t>
            </w:r>
            <w:r w:rsidR="00B409E0">
              <w:rPr>
                <w:b/>
              </w:rPr>
              <w:t xml:space="preserve"> </w:t>
            </w:r>
            <w:r w:rsidR="00B409E0" w:rsidRPr="00C47234">
              <w:rPr>
                <w:b/>
              </w:rPr>
              <w:t>o</w:t>
            </w:r>
            <w:r w:rsidR="00B409E0">
              <w:rPr>
                <w:b/>
              </w:rPr>
              <w:t> </w:t>
            </w:r>
            <w:r w:rsidRPr="00C47234">
              <w:rPr>
                <w:b/>
              </w:rPr>
              <w:t>rozhodnutí</w:t>
            </w:r>
            <w:r w:rsidR="00B409E0">
              <w:rPr>
                <w:b/>
              </w:rPr>
              <w:t xml:space="preserve"> </w:t>
            </w:r>
            <w:r w:rsidR="00B409E0" w:rsidRPr="00C47234">
              <w:rPr>
                <w:b/>
              </w:rPr>
              <w:t>o</w:t>
            </w:r>
            <w:r w:rsidR="00B409E0">
              <w:rPr>
                <w:b/>
              </w:rPr>
              <w:t> </w:t>
            </w:r>
            <w:r w:rsidRPr="00C47234">
              <w:rPr>
                <w:b/>
              </w:rPr>
              <w:t xml:space="preserve">předběžné otázce podaná Pécsi </w:t>
            </w:r>
            <w:proofErr w:type="spellStart"/>
            <w:r w:rsidRPr="00C47234">
              <w:rPr>
                <w:b/>
              </w:rPr>
              <w:t>Közigazgatási</w:t>
            </w:r>
            <w:proofErr w:type="spellEnd"/>
            <w:r w:rsidRPr="00C47234">
              <w:rPr>
                <w:b/>
              </w:rPr>
              <w:t xml:space="preserve"> </w:t>
            </w:r>
            <w:proofErr w:type="spellStart"/>
            <w:r w:rsidRPr="00C47234">
              <w:rPr>
                <w:b/>
              </w:rPr>
              <w:t>és</w:t>
            </w:r>
            <w:proofErr w:type="spellEnd"/>
            <w:r w:rsidRPr="00C47234">
              <w:rPr>
                <w:b/>
              </w:rPr>
              <w:t xml:space="preserve"> </w:t>
            </w:r>
            <w:proofErr w:type="spellStart"/>
            <w:r w:rsidRPr="00C47234">
              <w:rPr>
                <w:b/>
              </w:rPr>
              <w:t>Munkaügyi</w:t>
            </w:r>
            <w:proofErr w:type="spellEnd"/>
            <w:r w:rsidRPr="00C47234">
              <w:rPr>
                <w:b/>
              </w:rPr>
              <w:t xml:space="preserve"> </w:t>
            </w:r>
            <w:proofErr w:type="spellStart"/>
            <w:r w:rsidRPr="00C47234">
              <w:rPr>
                <w:b/>
              </w:rPr>
              <w:t>Bíróság</w:t>
            </w:r>
            <w:proofErr w:type="spellEnd"/>
          </w:p>
          <w:p w14:paraId="54B12BD0" w14:textId="77777777" w:rsidR="00C47234" w:rsidRDefault="00C47234" w:rsidP="00B409E0">
            <w:pPr>
              <w:jc w:val="both"/>
            </w:pPr>
          </w:p>
          <w:p w14:paraId="2BEAA561" w14:textId="77777777" w:rsidR="00470C01" w:rsidRPr="00A46D88" w:rsidRDefault="00846D63" w:rsidP="00B409E0">
            <w:pPr>
              <w:jc w:val="both"/>
              <w:rPr>
                <w:i/>
              </w:rPr>
            </w:pPr>
            <w:r w:rsidRPr="00A46D88">
              <w:rPr>
                <w:i/>
              </w:rPr>
              <w:t xml:space="preserve">Klíčové </w:t>
            </w:r>
            <w:r w:rsidR="000D7693" w:rsidRPr="00A46D88">
              <w:rPr>
                <w:i/>
                <w:color w:val="000000"/>
              </w:rPr>
              <w:t>pojmy</w:t>
            </w:r>
            <w:r w:rsidRPr="00A46D88">
              <w:rPr>
                <w:i/>
              </w:rPr>
              <w:t>: úplné</w:t>
            </w:r>
            <w:r w:rsidR="00B409E0" w:rsidRPr="00A46D88">
              <w:rPr>
                <w:i/>
              </w:rPr>
              <w:t xml:space="preserve"> a </w:t>
            </w:r>
            <w:r w:rsidRPr="00A46D88">
              <w:rPr>
                <w:i/>
              </w:rPr>
              <w:t xml:space="preserve">ex </w:t>
            </w:r>
            <w:proofErr w:type="spellStart"/>
            <w:r w:rsidRPr="00A46D88">
              <w:rPr>
                <w:i/>
              </w:rPr>
              <w:t>nunc</w:t>
            </w:r>
            <w:proofErr w:type="spellEnd"/>
            <w:r w:rsidRPr="00A46D88">
              <w:rPr>
                <w:i/>
              </w:rPr>
              <w:t xml:space="preserve"> posouzení</w:t>
            </w:r>
            <w:r w:rsidR="00A46D88">
              <w:rPr>
                <w:i/>
              </w:rPr>
              <w:t xml:space="preserve"> –</w:t>
            </w:r>
            <w:r w:rsidRPr="00A46D88">
              <w:rPr>
                <w:i/>
              </w:rPr>
              <w:t xml:space="preserve"> právo na účinnou právní ochranu ve věcech „úředního ping-pongu“</w:t>
            </w:r>
          </w:p>
          <w:p w14:paraId="63D73368" w14:textId="77777777" w:rsidR="00846D63" w:rsidRPr="00602781" w:rsidRDefault="00846D63" w:rsidP="00B409E0">
            <w:pPr>
              <w:jc w:val="both"/>
              <w:rPr>
                <w:i/>
                <w:iCs/>
                <w:color w:val="000000" w:themeColor="text1"/>
              </w:rPr>
            </w:pPr>
          </w:p>
          <w:p w14:paraId="51DC0D53" w14:textId="77777777" w:rsidR="00C47234" w:rsidRPr="00602781" w:rsidRDefault="00C47234" w:rsidP="00B409E0">
            <w:pPr>
              <w:jc w:val="both"/>
              <w:rPr>
                <w:i/>
                <w:iCs/>
                <w:color w:val="000000" w:themeColor="text1"/>
              </w:rPr>
            </w:pPr>
          </w:p>
          <w:p w14:paraId="01F7FC40" w14:textId="77777777" w:rsidR="00846D63" w:rsidRPr="00C47234" w:rsidRDefault="00846D63" w:rsidP="00B409E0">
            <w:pPr>
              <w:jc w:val="both"/>
              <w:rPr>
                <w:rFonts w:eastAsia="Times New Roman" w:cstheme="minorHAnsi"/>
                <w:b/>
                <w:bCs/>
                <w:color w:val="000000"/>
              </w:rPr>
            </w:pPr>
            <w:r w:rsidRPr="00C47234">
              <w:rPr>
                <w:b/>
                <w:color w:val="000000"/>
              </w:rPr>
              <w:t>Rozsudek Soudního dvora ve věci C-473/16 (</w:t>
            </w:r>
            <w:r w:rsidRPr="00C47234">
              <w:rPr>
                <w:b/>
                <w:i/>
                <w:iCs/>
                <w:color w:val="000000"/>
              </w:rPr>
              <w:t xml:space="preserve">F. v. </w:t>
            </w:r>
            <w:proofErr w:type="spellStart"/>
            <w:r w:rsidRPr="00C47234">
              <w:rPr>
                <w:b/>
                <w:i/>
                <w:color w:val="000000"/>
              </w:rPr>
              <w:t>Bevándorlási</w:t>
            </w:r>
            <w:proofErr w:type="spellEnd"/>
            <w:r w:rsidRPr="00C47234">
              <w:rPr>
                <w:b/>
                <w:i/>
                <w:color w:val="000000"/>
              </w:rPr>
              <w:t xml:space="preserve"> </w:t>
            </w:r>
            <w:proofErr w:type="spellStart"/>
            <w:r w:rsidRPr="00C47234">
              <w:rPr>
                <w:b/>
                <w:i/>
                <w:color w:val="000000"/>
              </w:rPr>
              <w:t>és</w:t>
            </w:r>
            <w:proofErr w:type="spellEnd"/>
            <w:r w:rsidRPr="00C47234">
              <w:rPr>
                <w:b/>
                <w:i/>
                <w:color w:val="000000"/>
              </w:rPr>
              <w:t xml:space="preserve"> </w:t>
            </w:r>
            <w:proofErr w:type="spellStart"/>
            <w:r w:rsidRPr="00C47234">
              <w:rPr>
                <w:b/>
                <w:i/>
                <w:color w:val="000000"/>
              </w:rPr>
              <w:t>Állampolgársági</w:t>
            </w:r>
            <w:proofErr w:type="spellEnd"/>
            <w:r w:rsidRPr="00C47234">
              <w:rPr>
                <w:b/>
                <w:i/>
                <w:color w:val="000000"/>
              </w:rPr>
              <w:t xml:space="preserve"> </w:t>
            </w:r>
            <w:proofErr w:type="spellStart"/>
            <w:r w:rsidRPr="00C47234">
              <w:rPr>
                <w:b/>
                <w:i/>
                <w:color w:val="000000"/>
              </w:rPr>
              <w:t>Hivatal</w:t>
            </w:r>
            <w:proofErr w:type="spellEnd"/>
            <w:r w:rsidRPr="00C47234">
              <w:rPr>
                <w:b/>
                <w:color w:val="000000"/>
              </w:rPr>
              <w:t>, 28. června 2018), žádost</w:t>
            </w:r>
            <w:r w:rsidR="00B409E0">
              <w:rPr>
                <w:b/>
                <w:color w:val="000000"/>
              </w:rPr>
              <w:t xml:space="preserve"> </w:t>
            </w:r>
            <w:r w:rsidR="00B409E0" w:rsidRPr="00C47234">
              <w:rPr>
                <w:b/>
                <w:color w:val="000000"/>
              </w:rPr>
              <w:t>o</w:t>
            </w:r>
            <w:r w:rsidR="00B409E0">
              <w:rPr>
                <w:b/>
                <w:color w:val="000000"/>
              </w:rPr>
              <w:t> </w:t>
            </w:r>
            <w:r w:rsidRPr="00C47234">
              <w:rPr>
                <w:b/>
                <w:color w:val="000000"/>
              </w:rPr>
              <w:t>rozhodnutí</w:t>
            </w:r>
            <w:r w:rsidR="00B409E0">
              <w:rPr>
                <w:b/>
                <w:color w:val="000000"/>
              </w:rPr>
              <w:t xml:space="preserve"> </w:t>
            </w:r>
            <w:r w:rsidR="00B409E0" w:rsidRPr="00C47234">
              <w:rPr>
                <w:b/>
                <w:color w:val="000000"/>
              </w:rPr>
              <w:t>o</w:t>
            </w:r>
            <w:r w:rsidR="00B409E0">
              <w:rPr>
                <w:b/>
                <w:color w:val="000000"/>
              </w:rPr>
              <w:t> </w:t>
            </w:r>
            <w:r w:rsidRPr="00C47234">
              <w:rPr>
                <w:b/>
                <w:color w:val="000000"/>
              </w:rPr>
              <w:t xml:space="preserve">předběžné otázce podaná </w:t>
            </w:r>
            <w:proofErr w:type="spellStart"/>
            <w:r w:rsidRPr="00C47234">
              <w:rPr>
                <w:b/>
                <w:bCs/>
                <w:color w:val="000000"/>
              </w:rPr>
              <w:t>Szegedi</w:t>
            </w:r>
            <w:proofErr w:type="spellEnd"/>
            <w:r w:rsidRPr="00C47234">
              <w:rPr>
                <w:b/>
                <w:bCs/>
                <w:color w:val="000000"/>
              </w:rPr>
              <w:t xml:space="preserve"> </w:t>
            </w:r>
            <w:proofErr w:type="spellStart"/>
            <w:r w:rsidRPr="00C47234">
              <w:rPr>
                <w:b/>
                <w:bCs/>
                <w:color w:val="000000"/>
              </w:rPr>
              <w:t>Közigazgatási</w:t>
            </w:r>
            <w:proofErr w:type="spellEnd"/>
            <w:r w:rsidRPr="00C47234">
              <w:rPr>
                <w:b/>
                <w:bCs/>
                <w:color w:val="000000"/>
              </w:rPr>
              <w:t xml:space="preserve"> </w:t>
            </w:r>
            <w:proofErr w:type="spellStart"/>
            <w:r w:rsidRPr="00C47234">
              <w:rPr>
                <w:b/>
                <w:bCs/>
                <w:color w:val="000000"/>
              </w:rPr>
              <w:t>és</w:t>
            </w:r>
            <w:proofErr w:type="spellEnd"/>
            <w:r w:rsidRPr="00C47234">
              <w:rPr>
                <w:b/>
                <w:bCs/>
                <w:color w:val="000000"/>
              </w:rPr>
              <w:t xml:space="preserve"> </w:t>
            </w:r>
            <w:proofErr w:type="spellStart"/>
            <w:r w:rsidRPr="00C47234">
              <w:rPr>
                <w:b/>
                <w:bCs/>
                <w:color w:val="000000"/>
              </w:rPr>
              <w:t>Munkaügyi</w:t>
            </w:r>
            <w:proofErr w:type="spellEnd"/>
            <w:r w:rsidRPr="00C47234">
              <w:rPr>
                <w:b/>
                <w:bCs/>
                <w:color w:val="000000"/>
              </w:rPr>
              <w:t xml:space="preserve"> </w:t>
            </w:r>
            <w:proofErr w:type="spellStart"/>
            <w:r w:rsidRPr="00C47234">
              <w:rPr>
                <w:b/>
                <w:bCs/>
                <w:color w:val="000000"/>
              </w:rPr>
              <w:t>Bíróság</w:t>
            </w:r>
            <w:proofErr w:type="spellEnd"/>
          </w:p>
          <w:p w14:paraId="2194E796" w14:textId="77777777" w:rsidR="00C47234" w:rsidRDefault="00C47234" w:rsidP="00B409E0">
            <w:pPr>
              <w:jc w:val="both"/>
              <w:rPr>
                <w:color w:val="000000"/>
              </w:rPr>
            </w:pPr>
          </w:p>
          <w:p w14:paraId="68853225" w14:textId="77777777" w:rsidR="003A44C8" w:rsidRPr="00A46D88" w:rsidRDefault="003A44C8" w:rsidP="00B409E0">
            <w:pPr>
              <w:jc w:val="both"/>
              <w:rPr>
                <w:rFonts w:eastAsia="Times New Roman" w:cstheme="minorHAnsi"/>
                <w:i/>
                <w:color w:val="000000"/>
              </w:rPr>
            </w:pPr>
            <w:r w:rsidRPr="00A46D88">
              <w:rPr>
                <w:i/>
                <w:color w:val="000000"/>
              </w:rPr>
              <w:t xml:space="preserve">Klíčové </w:t>
            </w:r>
            <w:r w:rsidR="000D7693" w:rsidRPr="00A46D88">
              <w:rPr>
                <w:i/>
                <w:color w:val="000000"/>
              </w:rPr>
              <w:t>pojmy</w:t>
            </w:r>
            <w:r w:rsidRPr="00A46D88">
              <w:rPr>
                <w:i/>
                <w:color w:val="000000"/>
              </w:rPr>
              <w:t>: zvláštní sociální skupina – sexuální orientace</w:t>
            </w:r>
            <w:r w:rsidR="00A46D88">
              <w:rPr>
                <w:i/>
                <w:color w:val="000000"/>
              </w:rPr>
              <w:t xml:space="preserve"> </w:t>
            </w:r>
            <w:r w:rsidR="00A46D88">
              <w:rPr>
                <w:i/>
              </w:rPr>
              <w:t>–</w:t>
            </w:r>
            <w:r w:rsidRPr="00A46D88">
              <w:rPr>
                <w:i/>
                <w:color w:val="000000"/>
              </w:rPr>
              <w:t xml:space="preserve"> důvody pronásledování</w:t>
            </w:r>
            <w:r w:rsidR="00A46D88">
              <w:rPr>
                <w:i/>
                <w:color w:val="000000"/>
              </w:rPr>
              <w:t xml:space="preserve"> </w:t>
            </w:r>
            <w:r w:rsidR="00A46D88">
              <w:rPr>
                <w:i/>
              </w:rPr>
              <w:t>–</w:t>
            </w:r>
            <w:r w:rsidRPr="00A46D88">
              <w:rPr>
                <w:i/>
                <w:color w:val="000000"/>
              </w:rPr>
              <w:t xml:space="preserve"> lékařské zprávy</w:t>
            </w:r>
            <w:r w:rsidR="00A46D88">
              <w:rPr>
                <w:i/>
                <w:color w:val="000000"/>
              </w:rPr>
              <w:t xml:space="preserve"> </w:t>
            </w:r>
            <w:r w:rsidR="00A46D88">
              <w:rPr>
                <w:i/>
              </w:rPr>
              <w:t>–</w:t>
            </w:r>
            <w:r w:rsidRPr="00A46D88">
              <w:rPr>
                <w:i/>
                <w:color w:val="000000"/>
              </w:rPr>
              <w:t xml:space="preserve"> posouzení úvěruschopnosti</w:t>
            </w:r>
          </w:p>
          <w:p w14:paraId="58E19F50" w14:textId="77777777" w:rsidR="008B093F" w:rsidRDefault="008B093F" w:rsidP="00B409E0">
            <w:pPr>
              <w:jc w:val="both"/>
              <w:rPr>
                <w:rFonts w:eastAsia="Times New Roman" w:cstheme="minorHAnsi"/>
                <w:b/>
                <w:bCs/>
                <w:color w:val="000000"/>
                <w:lang w:eastAsia="cs-CZ"/>
              </w:rPr>
            </w:pPr>
          </w:p>
          <w:p w14:paraId="62A9B327" w14:textId="77777777" w:rsidR="00C47234" w:rsidRDefault="00C47234" w:rsidP="00B409E0">
            <w:pPr>
              <w:jc w:val="both"/>
              <w:rPr>
                <w:rFonts w:eastAsia="Times New Roman" w:cstheme="minorHAnsi"/>
                <w:b/>
                <w:bCs/>
                <w:color w:val="000000"/>
                <w:lang w:eastAsia="cs-CZ"/>
              </w:rPr>
            </w:pPr>
          </w:p>
          <w:p w14:paraId="234AB902" w14:textId="77777777" w:rsidR="008B093F" w:rsidRPr="00C47234" w:rsidRDefault="008B093F" w:rsidP="00B409E0">
            <w:pPr>
              <w:jc w:val="both"/>
              <w:rPr>
                <w:rFonts w:eastAsia="Times New Roman" w:cstheme="minorHAnsi"/>
                <w:b/>
                <w:bCs/>
                <w:color w:val="000000"/>
              </w:rPr>
            </w:pPr>
            <w:r w:rsidRPr="00C47234">
              <w:rPr>
                <w:b/>
                <w:color w:val="000000"/>
              </w:rPr>
              <w:t>Rozsudek Soudního dvora ve věcech C-411/10</w:t>
            </w:r>
            <w:r w:rsidR="00B409E0">
              <w:rPr>
                <w:b/>
                <w:color w:val="000000"/>
              </w:rPr>
              <w:t xml:space="preserve"> </w:t>
            </w:r>
            <w:r w:rsidR="00B409E0" w:rsidRPr="00C47234">
              <w:rPr>
                <w:b/>
                <w:color w:val="000000"/>
              </w:rPr>
              <w:t>a</w:t>
            </w:r>
            <w:r w:rsidR="00B409E0">
              <w:rPr>
                <w:b/>
                <w:color w:val="000000"/>
              </w:rPr>
              <w:t> </w:t>
            </w:r>
            <w:r w:rsidRPr="00C47234">
              <w:rPr>
                <w:b/>
                <w:color w:val="000000"/>
              </w:rPr>
              <w:t>C-493/10 (</w:t>
            </w:r>
            <w:r w:rsidRPr="00C47234">
              <w:rPr>
                <w:b/>
                <w:i/>
                <w:color w:val="000000"/>
              </w:rPr>
              <w:t>spojené věci N.S. v. Spojené království</w:t>
            </w:r>
            <w:r w:rsidR="00B409E0">
              <w:rPr>
                <w:b/>
                <w:i/>
                <w:color w:val="000000"/>
              </w:rPr>
              <w:t xml:space="preserve"> </w:t>
            </w:r>
            <w:r w:rsidR="00B409E0" w:rsidRPr="00C47234">
              <w:rPr>
                <w:b/>
                <w:i/>
                <w:color w:val="000000"/>
              </w:rPr>
              <w:t>a</w:t>
            </w:r>
            <w:r w:rsidR="00B409E0">
              <w:rPr>
                <w:b/>
                <w:i/>
                <w:color w:val="000000"/>
              </w:rPr>
              <w:t> </w:t>
            </w:r>
            <w:r w:rsidRPr="00C47234">
              <w:rPr>
                <w:b/>
                <w:i/>
                <w:color w:val="000000"/>
              </w:rPr>
              <w:t>M.E. v. Irsko</w:t>
            </w:r>
            <w:r w:rsidRPr="00C47234">
              <w:rPr>
                <w:b/>
                <w:color w:val="000000"/>
              </w:rPr>
              <w:t>, 21. prosince 2011), žádosti</w:t>
            </w:r>
            <w:r w:rsidR="00B409E0">
              <w:rPr>
                <w:b/>
                <w:color w:val="000000"/>
              </w:rPr>
              <w:t xml:space="preserve"> </w:t>
            </w:r>
            <w:r w:rsidR="00B409E0" w:rsidRPr="00C47234">
              <w:rPr>
                <w:b/>
                <w:color w:val="000000"/>
              </w:rPr>
              <w:t>o</w:t>
            </w:r>
            <w:r w:rsidR="00B409E0">
              <w:rPr>
                <w:b/>
                <w:color w:val="000000"/>
              </w:rPr>
              <w:t> </w:t>
            </w:r>
            <w:r w:rsidRPr="00C47234">
              <w:rPr>
                <w:b/>
                <w:color w:val="000000"/>
              </w:rPr>
              <w:t>rozhodnutí</w:t>
            </w:r>
            <w:r w:rsidR="00B409E0">
              <w:rPr>
                <w:b/>
                <w:color w:val="000000"/>
              </w:rPr>
              <w:t xml:space="preserve"> </w:t>
            </w:r>
            <w:r w:rsidR="00B409E0" w:rsidRPr="00C47234">
              <w:rPr>
                <w:b/>
                <w:color w:val="000000"/>
              </w:rPr>
              <w:t>o</w:t>
            </w:r>
            <w:r w:rsidR="00B409E0">
              <w:rPr>
                <w:b/>
                <w:color w:val="000000"/>
              </w:rPr>
              <w:t> </w:t>
            </w:r>
            <w:r w:rsidRPr="00C47234">
              <w:rPr>
                <w:b/>
                <w:color w:val="000000"/>
              </w:rPr>
              <w:t xml:space="preserve">předběžné otázce podané </w:t>
            </w:r>
            <w:proofErr w:type="spellStart"/>
            <w:r w:rsidRPr="00C47234">
              <w:rPr>
                <w:b/>
                <w:color w:val="000000"/>
              </w:rPr>
              <w:t>Court</w:t>
            </w:r>
            <w:proofErr w:type="spellEnd"/>
            <w:r w:rsidRPr="00C47234">
              <w:rPr>
                <w:b/>
                <w:color w:val="000000"/>
              </w:rPr>
              <w:t xml:space="preserve"> </w:t>
            </w:r>
            <w:proofErr w:type="spellStart"/>
            <w:r w:rsidRPr="00C47234">
              <w:rPr>
                <w:b/>
                <w:color w:val="000000"/>
              </w:rPr>
              <w:t>of</w:t>
            </w:r>
            <w:proofErr w:type="spellEnd"/>
            <w:r w:rsidRPr="00C47234">
              <w:rPr>
                <w:b/>
                <w:color w:val="000000"/>
              </w:rPr>
              <w:t xml:space="preserve"> Appeal (Spojené království)</w:t>
            </w:r>
            <w:r w:rsidR="00B409E0">
              <w:rPr>
                <w:b/>
                <w:color w:val="000000"/>
              </w:rPr>
              <w:t xml:space="preserve"> </w:t>
            </w:r>
            <w:r w:rsidR="00B409E0" w:rsidRPr="00C47234">
              <w:rPr>
                <w:b/>
                <w:color w:val="000000"/>
              </w:rPr>
              <w:t>a</w:t>
            </w:r>
            <w:r w:rsidR="00B409E0">
              <w:rPr>
                <w:b/>
                <w:color w:val="000000"/>
              </w:rPr>
              <w:t> </w:t>
            </w:r>
            <w:proofErr w:type="spellStart"/>
            <w:r w:rsidRPr="00C47234">
              <w:rPr>
                <w:b/>
                <w:color w:val="000000"/>
              </w:rPr>
              <w:t>High</w:t>
            </w:r>
            <w:proofErr w:type="spellEnd"/>
            <w:r w:rsidRPr="00C47234">
              <w:rPr>
                <w:b/>
                <w:color w:val="000000"/>
              </w:rPr>
              <w:t xml:space="preserve"> </w:t>
            </w:r>
            <w:proofErr w:type="spellStart"/>
            <w:r w:rsidRPr="00C47234">
              <w:rPr>
                <w:b/>
                <w:color w:val="000000"/>
              </w:rPr>
              <w:t>Court</w:t>
            </w:r>
            <w:proofErr w:type="spellEnd"/>
            <w:r w:rsidRPr="00C47234">
              <w:rPr>
                <w:b/>
                <w:color w:val="000000"/>
              </w:rPr>
              <w:t xml:space="preserve"> (Irsko)</w:t>
            </w:r>
          </w:p>
          <w:p w14:paraId="04A85367" w14:textId="77777777" w:rsidR="00C47234" w:rsidRDefault="00C47234" w:rsidP="00B409E0">
            <w:pPr>
              <w:jc w:val="both"/>
              <w:rPr>
                <w:color w:val="000000"/>
              </w:rPr>
            </w:pPr>
          </w:p>
          <w:p w14:paraId="48944972" w14:textId="77777777" w:rsidR="008B093F" w:rsidRPr="00A46D88" w:rsidRDefault="003A44C8" w:rsidP="00B409E0">
            <w:pPr>
              <w:jc w:val="both"/>
              <w:rPr>
                <w:rFonts w:eastAsia="Times New Roman" w:cstheme="minorHAnsi"/>
                <w:i/>
                <w:color w:val="000000"/>
              </w:rPr>
            </w:pPr>
            <w:r w:rsidRPr="00A46D88">
              <w:rPr>
                <w:i/>
                <w:color w:val="000000"/>
              </w:rPr>
              <w:t xml:space="preserve">Klíčové </w:t>
            </w:r>
            <w:r w:rsidR="000D7693" w:rsidRPr="00A46D88">
              <w:rPr>
                <w:i/>
                <w:color w:val="000000"/>
              </w:rPr>
              <w:t>pojmy</w:t>
            </w:r>
            <w:r w:rsidRPr="00A46D88">
              <w:rPr>
                <w:i/>
                <w:color w:val="000000"/>
              </w:rPr>
              <w:t>: předání podle dublinského nařízení</w:t>
            </w:r>
            <w:r w:rsidR="00A46D88">
              <w:rPr>
                <w:i/>
                <w:color w:val="000000"/>
              </w:rPr>
              <w:t xml:space="preserve"> </w:t>
            </w:r>
            <w:r w:rsidR="00A46D88">
              <w:rPr>
                <w:i/>
              </w:rPr>
              <w:t>–</w:t>
            </w:r>
            <w:r w:rsidRPr="00A46D88">
              <w:rPr>
                <w:i/>
                <w:color w:val="000000"/>
              </w:rPr>
              <w:t xml:space="preserve"> zásada nenavracení</w:t>
            </w:r>
            <w:r w:rsidR="00A46D88">
              <w:rPr>
                <w:i/>
                <w:color w:val="000000"/>
              </w:rPr>
              <w:t xml:space="preserve"> </w:t>
            </w:r>
            <w:r w:rsidR="00A46D88">
              <w:rPr>
                <w:i/>
              </w:rPr>
              <w:t>–</w:t>
            </w:r>
            <w:r w:rsidRPr="00A46D88">
              <w:rPr>
                <w:i/>
                <w:color w:val="000000"/>
              </w:rPr>
              <w:t xml:space="preserve"> bezpečná třetí země</w:t>
            </w:r>
            <w:r w:rsidR="00A46D88">
              <w:rPr>
                <w:i/>
                <w:color w:val="000000"/>
              </w:rPr>
              <w:t xml:space="preserve"> </w:t>
            </w:r>
            <w:r w:rsidR="00A46D88">
              <w:rPr>
                <w:i/>
              </w:rPr>
              <w:t>–</w:t>
            </w:r>
            <w:r w:rsidRPr="00A46D88">
              <w:rPr>
                <w:i/>
                <w:color w:val="000000"/>
              </w:rPr>
              <w:t xml:space="preserve"> účinný přístup</w:t>
            </w:r>
            <w:r w:rsidR="00B409E0" w:rsidRPr="00A46D88">
              <w:rPr>
                <w:i/>
                <w:color w:val="000000"/>
              </w:rPr>
              <w:t xml:space="preserve"> k </w:t>
            </w:r>
            <w:r w:rsidRPr="00A46D88">
              <w:rPr>
                <w:i/>
                <w:color w:val="000000"/>
              </w:rPr>
              <w:t>řízení</w:t>
            </w:r>
            <w:r w:rsidR="00B409E0" w:rsidRPr="00A46D88">
              <w:rPr>
                <w:i/>
                <w:color w:val="000000"/>
              </w:rPr>
              <w:t xml:space="preserve"> a </w:t>
            </w:r>
            <w:r w:rsidRPr="00A46D88">
              <w:rPr>
                <w:i/>
                <w:color w:val="000000"/>
              </w:rPr>
              <w:t>právo na prostředky nápravy</w:t>
            </w:r>
          </w:p>
          <w:p w14:paraId="7BD268A3" w14:textId="77777777" w:rsidR="00846D63" w:rsidRPr="00602781" w:rsidRDefault="00846D63" w:rsidP="00B409E0">
            <w:pPr>
              <w:jc w:val="both"/>
              <w:rPr>
                <w:rFonts w:eastAsia="Times New Roman" w:cstheme="minorHAnsi"/>
                <w:color w:val="000000"/>
                <w:lang w:eastAsia="cs-CZ"/>
              </w:rPr>
            </w:pPr>
          </w:p>
          <w:p w14:paraId="52052754" w14:textId="77777777" w:rsidR="00C47234" w:rsidRDefault="00C47234" w:rsidP="00B409E0">
            <w:pPr>
              <w:jc w:val="both"/>
              <w:rPr>
                <w:b/>
                <w:color w:val="000000"/>
              </w:rPr>
            </w:pPr>
          </w:p>
          <w:p w14:paraId="2AC2B3EF" w14:textId="77777777" w:rsidR="003A44C8" w:rsidRDefault="003A44C8" w:rsidP="00B409E0">
            <w:pPr>
              <w:jc w:val="both"/>
              <w:rPr>
                <w:b/>
                <w:color w:val="000000"/>
              </w:rPr>
            </w:pPr>
            <w:r w:rsidRPr="00C47234">
              <w:rPr>
                <w:b/>
                <w:color w:val="000000"/>
              </w:rPr>
              <w:t>Rozsudek Soudního dvora ve věcech C-297/17, C-318/17, C-319/17</w:t>
            </w:r>
            <w:r w:rsidR="00B409E0">
              <w:rPr>
                <w:b/>
                <w:color w:val="000000"/>
              </w:rPr>
              <w:t xml:space="preserve"> </w:t>
            </w:r>
            <w:r w:rsidR="00B409E0" w:rsidRPr="00C47234">
              <w:rPr>
                <w:b/>
                <w:color w:val="000000"/>
              </w:rPr>
              <w:t>a</w:t>
            </w:r>
            <w:r w:rsidR="00B409E0">
              <w:rPr>
                <w:b/>
                <w:color w:val="000000"/>
              </w:rPr>
              <w:t> </w:t>
            </w:r>
            <w:r w:rsidRPr="00C47234">
              <w:rPr>
                <w:b/>
                <w:color w:val="000000"/>
              </w:rPr>
              <w:t>C-438/17 (</w:t>
            </w:r>
            <w:r w:rsidRPr="00C47234">
              <w:rPr>
                <w:b/>
                <w:i/>
                <w:color w:val="000000"/>
              </w:rPr>
              <w:t>Ibrahim,</w:t>
            </w:r>
            <w:r w:rsidRPr="00C47234">
              <w:rPr>
                <w:b/>
                <w:color w:val="000000"/>
              </w:rPr>
              <w:t xml:space="preserve"> 19. března 2019), žádosti</w:t>
            </w:r>
            <w:r w:rsidR="00B409E0">
              <w:rPr>
                <w:b/>
                <w:color w:val="000000"/>
              </w:rPr>
              <w:t xml:space="preserve"> </w:t>
            </w:r>
            <w:r w:rsidR="00B409E0" w:rsidRPr="00C47234">
              <w:rPr>
                <w:b/>
                <w:color w:val="000000"/>
              </w:rPr>
              <w:t>o</w:t>
            </w:r>
            <w:r w:rsidR="00B409E0">
              <w:rPr>
                <w:b/>
                <w:color w:val="000000"/>
              </w:rPr>
              <w:t> </w:t>
            </w:r>
            <w:r w:rsidRPr="00C47234">
              <w:rPr>
                <w:b/>
                <w:color w:val="000000"/>
              </w:rPr>
              <w:t>rozhodnutí</w:t>
            </w:r>
            <w:r w:rsidR="00B409E0">
              <w:rPr>
                <w:b/>
                <w:color w:val="000000"/>
              </w:rPr>
              <w:t xml:space="preserve"> </w:t>
            </w:r>
            <w:r w:rsidR="00B409E0" w:rsidRPr="00C47234">
              <w:rPr>
                <w:b/>
                <w:color w:val="000000"/>
              </w:rPr>
              <w:t>o</w:t>
            </w:r>
            <w:r w:rsidR="00B409E0">
              <w:rPr>
                <w:b/>
                <w:color w:val="000000"/>
              </w:rPr>
              <w:t> </w:t>
            </w:r>
            <w:r w:rsidRPr="00C47234">
              <w:rPr>
                <w:b/>
                <w:color w:val="000000"/>
              </w:rPr>
              <w:t xml:space="preserve">předběžné otázce podané </w:t>
            </w:r>
            <w:proofErr w:type="spellStart"/>
            <w:r w:rsidRPr="00C47234">
              <w:rPr>
                <w:b/>
                <w:color w:val="000000"/>
              </w:rPr>
              <w:t>Bundesverwaltungsgericht</w:t>
            </w:r>
            <w:proofErr w:type="spellEnd"/>
            <w:r w:rsidRPr="00C47234">
              <w:rPr>
                <w:b/>
                <w:color w:val="000000"/>
              </w:rPr>
              <w:t xml:space="preserve"> (Spolkový správní soud, Německo)</w:t>
            </w:r>
          </w:p>
          <w:p w14:paraId="0A7D9951" w14:textId="77777777" w:rsidR="00C47234" w:rsidRPr="00C47234" w:rsidRDefault="00C47234" w:rsidP="00B409E0">
            <w:pPr>
              <w:jc w:val="both"/>
              <w:rPr>
                <w:rFonts w:eastAsia="Times New Roman" w:cstheme="minorHAnsi"/>
                <w:b/>
                <w:bCs/>
                <w:color w:val="000000"/>
              </w:rPr>
            </w:pPr>
          </w:p>
          <w:p w14:paraId="0F6F6277" w14:textId="77777777" w:rsidR="003A44C8" w:rsidRPr="00A46D88" w:rsidRDefault="003A44C8" w:rsidP="00B409E0">
            <w:pPr>
              <w:jc w:val="both"/>
              <w:rPr>
                <w:rFonts w:eastAsia="Times New Roman" w:cstheme="minorHAnsi"/>
                <w:i/>
                <w:color w:val="000000"/>
              </w:rPr>
            </w:pPr>
            <w:r w:rsidRPr="00A46D88">
              <w:rPr>
                <w:i/>
                <w:color w:val="000000"/>
              </w:rPr>
              <w:t xml:space="preserve">Klíčové </w:t>
            </w:r>
            <w:r w:rsidR="000D7693" w:rsidRPr="00A46D88">
              <w:rPr>
                <w:i/>
                <w:color w:val="000000"/>
              </w:rPr>
              <w:t>pojmy</w:t>
            </w:r>
            <w:r w:rsidRPr="00A46D88">
              <w:rPr>
                <w:i/>
                <w:color w:val="000000"/>
              </w:rPr>
              <w:t>: životní podmínky</w:t>
            </w:r>
            <w:r w:rsidR="00A46D88">
              <w:rPr>
                <w:i/>
                <w:color w:val="000000"/>
              </w:rPr>
              <w:t xml:space="preserve"> </w:t>
            </w:r>
            <w:r w:rsidR="00A46D88">
              <w:rPr>
                <w:i/>
              </w:rPr>
              <w:t>–</w:t>
            </w:r>
            <w:r w:rsidRPr="00A46D88">
              <w:rPr>
                <w:i/>
                <w:color w:val="000000"/>
              </w:rPr>
              <w:t xml:space="preserve"> porušení kvalifikační směrnice</w:t>
            </w:r>
            <w:r w:rsidR="00A46D88">
              <w:rPr>
                <w:i/>
                <w:color w:val="000000"/>
              </w:rPr>
              <w:t xml:space="preserve"> </w:t>
            </w:r>
            <w:r w:rsidR="00A46D88">
              <w:rPr>
                <w:i/>
              </w:rPr>
              <w:t>–</w:t>
            </w:r>
            <w:r w:rsidRPr="00A46D88">
              <w:rPr>
                <w:i/>
                <w:color w:val="000000"/>
              </w:rPr>
              <w:t xml:space="preserve"> předání do členského státu, který poskytl mezinárodní ochranu</w:t>
            </w:r>
          </w:p>
          <w:p w14:paraId="3F211EE3" w14:textId="77777777" w:rsidR="00846D63" w:rsidRPr="00602781" w:rsidRDefault="00846D63" w:rsidP="00B409E0">
            <w:pPr>
              <w:jc w:val="both"/>
              <w:rPr>
                <w:color w:val="000000" w:themeColor="text1"/>
              </w:rPr>
            </w:pPr>
          </w:p>
          <w:p w14:paraId="74AAB205" w14:textId="77777777" w:rsidR="00C47234" w:rsidRPr="00602781" w:rsidRDefault="00C47234" w:rsidP="00B409E0">
            <w:pPr>
              <w:jc w:val="both"/>
              <w:rPr>
                <w:color w:val="000000" w:themeColor="text1"/>
              </w:rPr>
            </w:pPr>
          </w:p>
          <w:p w14:paraId="537C5590" w14:textId="77777777" w:rsidR="00FE53FC" w:rsidRPr="00C47234" w:rsidRDefault="00FE53FC" w:rsidP="00B409E0">
            <w:pPr>
              <w:jc w:val="both"/>
              <w:rPr>
                <w:rFonts w:eastAsia="Times New Roman" w:cstheme="minorHAnsi"/>
                <w:b/>
                <w:bCs/>
                <w:color w:val="000000"/>
              </w:rPr>
            </w:pPr>
            <w:r w:rsidRPr="00C47234">
              <w:rPr>
                <w:b/>
                <w:color w:val="000000"/>
              </w:rPr>
              <w:t>Rozsudek Soudního dvora ve věci C-528/11 (</w:t>
            </w:r>
            <w:proofErr w:type="spellStart"/>
            <w:r w:rsidRPr="00C47234">
              <w:rPr>
                <w:b/>
                <w:i/>
                <w:color w:val="000000"/>
              </w:rPr>
              <w:t>Halaf</w:t>
            </w:r>
            <w:proofErr w:type="spellEnd"/>
            <w:r w:rsidRPr="00C47234">
              <w:rPr>
                <w:b/>
                <w:color w:val="000000"/>
              </w:rPr>
              <w:t xml:space="preserve">, 30. května 2013), </w:t>
            </w:r>
            <w:r w:rsidRPr="00C47234">
              <w:rPr>
                <w:b/>
                <w:bCs/>
                <w:color w:val="000000"/>
              </w:rPr>
              <w:t>žádost</w:t>
            </w:r>
            <w:r w:rsidR="00B409E0">
              <w:rPr>
                <w:b/>
                <w:bCs/>
                <w:color w:val="000000"/>
              </w:rPr>
              <w:t xml:space="preserve"> </w:t>
            </w:r>
            <w:r w:rsidR="00B409E0" w:rsidRPr="00C47234">
              <w:rPr>
                <w:b/>
                <w:bCs/>
                <w:color w:val="000000"/>
              </w:rPr>
              <w:t>o</w:t>
            </w:r>
            <w:r w:rsidR="00B409E0">
              <w:rPr>
                <w:b/>
                <w:bCs/>
                <w:color w:val="000000"/>
              </w:rPr>
              <w:t> </w:t>
            </w:r>
            <w:r w:rsidRPr="00C47234">
              <w:rPr>
                <w:b/>
                <w:bCs/>
                <w:color w:val="000000"/>
              </w:rPr>
              <w:t>rozhodnutí</w:t>
            </w:r>
            <w:r w:rsidR="00B409E0">
              <w:rPr>
                <w:b/>
                <w:bCs/>
                <w:color w:val="000000"/>
              </w:rPr>
              <w:t xml:space="preserve"> </w:t>
            </w:r>
            <w:r w:rsidR="00B409E0" w:rsidRPr="00C47234">
              <w:rPr>
                <w:b/>
                <w:bCs/>
                <w:color w:val="000000"/>
              </w:rPr>
              <w:t>o</w:t>
            </w:r>
            <w:r w:rsidR="00B409E0">
              <w:rPr>
                <w:b/>
                <w:bCs/>
                <w:color w:val="000000"/>
              </w:rPr>
              <w:t> </w:t>
            </w:r>
            <w:r w:rsidRPr="00C47234">
              <w:rPr>
                <w:b/>
                <w:bCs/>
                <w:color w:val="000000"/>
              </w:rPr>
              <w:t xml:space="preserve">předběžné otázce podaná </w:t>
            </w:r>
            <w:proofErr w:type="spellStart"/>
            <w:r w:rsidRPr="00C47234">
              <w:rPr>
                <w:b/>
                <w:color w:val="000000"/>
              </w:rPr>
              <w:t>Administrativen</w:t>
            </w:r>
            <w:proofErr w:type="spellEnd"/>
            <w:r w:rsidRPr="00C47234">
              <w:rPr>
                <w:b/>
                <w:color w:val="000000"/>
              </w:rPr>
              <w:t xml:space="preserve"> sad Sofia-grad (Bulharsko)</w:t>
            </w:r>
          </w:p>
          <w:p w14:paraId="63EB56F1" w14:textId="77777777" w:rsidR="00C47234" w:rsidRDefault="00C47234" w:rsidP="00B409E0">
            <w:pPr>
              <w:jc w:val="both"/>
              <w:rPr>
                <w:color w:val="000000"/>
              </w:rPr>
            </w:pPr>
          </w:p>
          <w:p w14:paraId="56734F64" w14:textId="77777777" w:rsidR="00FE53FC" w:rsidRPr="00A46D88" w:rsidRDefault="00FE53FC" w:rsidP="00B409E0">
            <w:pPr>
              <w:jc w:val="both"/>
              <w:rPr>
                <w:rFonts w:eastAsia="Times New Roman" w:cstheme="minorHAnsi"/>
                <w:i/>
                <w:color w:val="000000"/>
              </w:rPr>
            </w:pPr>
            <w:r w:rsidRPr="00A46D88">
              <w:rPr>
                <w:i/>
                <w:color w:val="000000"/>
              </w:rPr>
              <w:t xml:space="preserve">Klíčové </w:t>
            </w:r>
            <w:r w:rsidR="000D7693" w:rsidRPr="00A46D88">
              <w:rPr>
                <w:i/>
                <w:color w:val="000000"/>
              </w:rPr>
              <w:t>pojmy</w:t>
            </w:r>
            <w:r w:rsidRPr="00A46D88">
              <w:rPr>
                <w:i/>
                <w:color w:val="000000"/>
              </w:rPr>
              <w:t>: určení členského státu příslušného</w:t>
            </w:r>
            <w:r w:rsidR="00B409E0" w:rsidRPr="00A46D88">
              <w:rPr>
                <w:i/>
                <w:color w:val="000000"/>
              </w:rPr>
              <w:t xml:space="preserve"> k </w:t>
            </w:r>
            <w:r w:rsidRPr="00A46D88">
              <w:rPr>
                <w:i/>
                <w:color w:val="000000"/>
              </w:rPr>
              <w:t>posuzování žádosti</w:t>
            </w:r>
            <w:r w:rsidR="00B409E0" w:rsidRPr="00A46D88">
              <w:rPr>
                <w:i/>
                <w:color w:val="000000"/>
              </w:rPr>
              <w:t xml:space="preserve"> o </w:t>
            </w:r>
            <w:r w:rsidRPr="00A46D88">
              <w:rPr>
                <w:i/>
                <w:color w:val="000000"/>
              </w:rPr>
              <w:t>azyl</w:t>
            </w:r>
            <w:r w:rsidR="00A46D88">
              <w:rPr>
                <w:i/>
                <w:color w:val="000000"/>
              </w:rPr>
              <w:t xml:space="preserve"> </w:t>
            </w:r>
            <w:r w:rsidR="00A46D88">
              <w:rPr>
                <w:i/>
              </w:rPr>
              <w:t>–</w:t>
            </w:r>
            <w:r w:rsidRPr="00A46D88">
              <w:rPr>
                <w:i/>
                <w:color w:val="000000"/>
              </w:rPr>
              <w:t xml:space="preserve"> volné uvážení</w:t>
            </w:r>
            <w:r w:rsidR="00A46D88">
              <w:rPr>
                <w:i/>
                <w:color w:val="000000"/>
              </w:rPr>
              <w:t xml:space="preserve"> </w:t>
            </w:r>
            <w:r w:rsidR="00A46D88">
              <w:rPr>
                <w:i/>
              </w:rPr>
              <w:t>–</w:t>
            </w:r>
            <w:r w:rsidRPr="00A46D88">
              <w:rPr>
                <w:i/>
                <w:color w:val="000000"/>
              </w:rPr>
              <w:t xml:space="preserve"> role Vysokého komisaře Organizace spojených národů pro uprchlíky</w:t>
            </w:r>
          </w:p>
          <w:p w14:paraId="20B98220" w14:textId="77777777" w:rsidR="00846D63" w:rsidRDefault="00846D63" w:rsidP="00B409E0">
            <w:pPr>
              <w:jc w:val="both"/>
              <w:rPr>
                <w:color w:val="000000" w:themeColor="text1"/>
              </w:rPr>
            </w:pPr>
          </w:p>
          <w:p w14:paraId="07C1D474" w14:textId="77777777" w:rsidR="00C47234" w:rsidRDefault="00C47234" w:rsidP="00B409E0">
            <w:pPr>
              <w:jc w:val="both"/>
              <w:rPr>
                <w:color w:val="000000" w:themeColor="text1"/>
              </w:rPr>
            </w:pPr>
          </w:p>
          <w:p w14:paraId="32001CEA" w14:textId="77777777" w:rsidR="00FE53FC" w:rsidRPr="00C47234" w:rsidRDefault="00FE53FC" w:rsidP="00B409E0">
            <w:pPr>
              <w:jc w:val="both"/>
              <w:rPr>
                <w:rFonts w:eastAsia="Times New Roman" w:cstheme="minorHAnsi"/>
                <w:b/>
                <w:bCs/>
                <w:color w:val="000000"/>
              </w:rPr>
            </w:pPr>
            <w:r w:rsidRPr="00C47234">
              <w:rPr>
                <w:b/>
                <w:color w:val="000000"/>
              </w:rPr>
              <w:t>Rozsudek Soudního dvora ve věci C-181/16 (</w:t>
            </w:r>
            <w:proofErr w:type="spellStart"/>
            <w:r w:rsidRPr="00C47234">
              <w:rPr>
                <w:b/>
                <w:i/>
                <w:color w:val="000000"/>
              </w:rPr>
              <w:t>Gnandi</w:t>
            </w:r>
            <w:proofErr w:type="spellEnd"/>
            <w:r w:rsidRPr="00C47234">
              <w:rPr>
                <w:b/>
                <w:color w:val="000000"/>
              </w:rPr>
              <w:t xml:space="preserve">, 19. června 2018), </w:t>
            </w:r>
            <w:r w:rsidRPr="00C47234">
              <w:rPr>
                <w:b/>
                <w:bCs/>
                <w:color w:val="000000"/>
              </w:rPr>
              <w:t>žádost</w:t>
            </w:r>
            <w:r w:rsidR="00B409E0">
              <w:rPr>
                <w:b/>
                <w:bCs/>
                <w:color w:val="000000"/>
              </w:rPr>
              <w:t xml:space="preserve"> </w:t>
            </w:r>
            <w:r w:rsidR="00B409E0" w:rsidRPr="00C47234">
              <w:rPr>
                <w:b/>
                <w:bCs/>
                <w:color w:val="000000"/>
              </w:rPr>
              <w:t>o</w:t>
            </w:r>
            <w:r w:rsidR="00B409E0">
              <w:rPr>
                <w:b/>
                <w:bCs/>
                <w:color w:val="000000"/>
              </w:rPr>
              <w:t> </w:t>
            </w:r>
            <w:r w:rsidRPr="00C47234">
              <w:rPr>
                <w:b/>
                <w:bCs/>
                <w:color w:val="000000"/>
              </w:rPr>
              <w:t>rozhodnutí</w:t>
            </w:r>
            <w:r w:rsidR="00B409E0">
              <w:rPr>
                <w:b/>
                <w:bCs/>
                <w:color w:val="000000"/>
              </w:rPr>
              <w:t xml:space="preserve"> </w:t>
            </w:r>
            <w:r w:rsidR="00B409E0" w:rsidRPr="00C47234">
              <w:rPr>
                <w:b/>
                <w:bCs/>
                <w:color w:val="000000"/>
              </w:rPr>
              <w:t>o</w:t>
            </w:r>
            <w:r w:rsidR="00B409E0">
              <w:rPr>
                <w:b/>
                <w:bCs/>
                <w:color w:val="000000"/>
              </w:rPr>
              <w:t> </w:t>
            </w:r>
            <w:r w:rsidRPr="00C47234">
              <w:rPr>
                <w:b/>
                <w:bCs/>
                <w:color w:val="000000"/>
              </w:rPr>
              <w:t xml:space="preserve">předběžné otázce podaná </w:t>
            </w:r>
            <w:r w:rsidRPr="00C47234">
              <w:rPr>
                <w:b/>
                <w:color w:val="000000"/>
              </w:rPr>
              <w:t>Belgickým státem</w:t>
            </w:r>
          </w:p>
          <w:p w14:paraId="49620E61" w14:textId="77777777" w:rsidR="00C47234" w:rsidRDefault="00C47234" w:rsidP="00B409E0">
            <w:pPr>
              <w:jc w:val="both"/>
              <w:rPr>
                <w:color w:val="000000"/>
              </w:rPr>
            </w:pPr>
          </w:p>
          <w:p w14:paraId="51CE831E" w14:textId="77777777" w:rsidR="00FE53FC" w:rsidRPr="00A46D88" w:rsidRDefault="00FE53FC" w:rsidP="00B409E0">
            <w:pPr>
              <w:jc w:val="both"/>
              <w:rPr>
                <w:rFonts w:eastAsia="Times New Roman" w:cstheme="minorHAnsi"/>
                <w:i/>
                <w:color w:val="000000"/>
              </w:rPr>
            </w:pPr>
            <w:r w:rsidRPr="00A46D88">
              <w:rPr>
                <w:i/>
                <w:color w:val="000000"/>
              </w:rPr>
              <w:t xml:space="preserve">Klíčové </w:t>
            </w:r>
            <w:r w:rsidR="000D7693" w:rsidRPr="00A46D88">
              <w:rPr>
                <w:i/>
                <w:color w:val="000000"/>
              </w:rPr>
              <w:t>pojmy</w:t>
            </w:r>
            <w:r w:rsidRPr="00A46D88">
              <w:rPr>
                <w:i/>
                <w:color w:val="000000"/>
              </w:rPr>
              <w:t>: navracení neoprávněně pobývajících státních příslušníků třetích zemí</w:t>
            </w:r>
            <w:r w:rsidR="00A46D88">
              <w:rPr>
                <w:i/>
                <w:color w:val="000000"/>
              </w:rPr>
              <w:t xml:space="preserve"> </w:t>
            </w:r>
            <w:r w:rsidR="00A46D88">
              <w:rPr>
                <w:i/>
              </w:rPr>
              <w:t>–</w:t>
            </w:r>
            <w:r w:rsidRPr="00A46D88">
              <w:rPr>
                <w:i/>
                <w:color w:val="000000"/>
              </w:rPr>
              <w:t xml:space="preserve"> pojem </w:t>
            </w:r>
            <w:r w:rsidR="00A46D88">
              <w:rPr>
                <w:i/>
                <w:color w:val="000000"/>
              </w:rPr>
              <w:t>„</w:t>
            </w:r>
            <w:r w:rsidRPr="00A46D88">
              <w:rPr>
                <w:i/>
                <w:color w:val="000000"/>
              </w:rPr>
              <w:t>neoprávněný pobyt</w:t>
            </w:r>
            <w:r w:rsidR="00A46D88">
              <w:rPr>
                <w:i/>
                <w:color w:val="000000"/>
              </w:rPr>
              <w:t xml:space="preserve">“ </w:t>
            </w:r>
            <w:r w:rsidR="00A46D88">
              <w:rPr>
                <w:i/>
              </w:rPr>
              <w:t>–</w:t>
            </w:r>
            <w:r w:rsidRPr="00A46D88">
              <w:rPr>
                <w:i/>
                <w:color w:val="000000"/>
              </w:rPr>
              <w:t xml:space="preserve"> povolení setrvat</w:t>
            </w:r>
            <w:r w:rsidR="00B409E0" w:rsidRPr="00A46D88">
              <w:rPr>
                <w:i/>
                <w:color w:val="000000"/>
              </w:rPr>
              <w:t xml:space="preserve"> v </w:t>
            </w:r>
            <w:r w:rsidRPr="00A46D88">
              <w:rPr>
                <w:i/>
                <w:color w:val="000000"/>
              </w:rPr>
              <w:t>členském státě</w:t>
            </w:r>
            <w:r w:rsidR="00A46D88">
              <w:rPr>
                <w:i/>
                <w:color w:val="000000"/>
              </w:rPr>
              <w:t xml:space="preserve"> </w:t>
            </w:r>
            <w:r w:rsidR="00A46D88">
              <w:rPr>
                <w:i/>
              </w:rPr>
              <w:t>–</w:t>
            </w:r>
            <w:r w:rsidRPr="00A46D88">
              <w:rPr>
                <w:i/>
                <w:color w:val="000000"/>
              </w:rPr>
              <w:t xml:space="preserve"> zásada nenavracení</w:t>
            </w:r>
          </w:p>
          <w:p w14:paraId="7A88F49B" w14:textId="77777777" w:rsidR="00846D63" w:rsidRDefault="00846D63" w:rsidP="00B409E0">
            <w:pPr>
              <w:jc w:val="both"/>
              <w:rPr>
                <w:color w:val="000000" w:themeColor="text1"/>
              </w:rPr>
            </w:pPr>
          </w:p>
          <w:p w14:paraId="731CCEEC" w14:textId="77777777" w:rsidR="00C47234" w:rsidRDefault="00C47234" w:rsidP="00B409E0">
            <w:pPr>
              <w:jc w:val="both"/>
              <w:rPr>
                <w:color w:val="000000" w:themeColor="text1"/>
              </w:rPr>
            </w:pPr>
          </w:p>
          <w:p w14:paraId="333B343D" w14:textId="77777777" w:rsidR="006726BC" w:rsidRPr="00C47234" w:rsidRDefault="006726BC" w:rsidP="00B409E0">
            <w:pPr>
              <w:jc w:val="both"/>
              <w:rPr>
                <w:rFonts w:eastAsia="Times New Roman" w:cstheme="minorHAnsi"/>
                <w:b/>
                <w:bCs/>
                <w:color w:val="000000"/>
              </w:rPr>
            </w:pPr>
            <w:r w:rsidRPr="00C47234">
              <w:rPr>
                <w:b/>
                <w:color w:val="000000"/>
              </w:rPr>
              <w:t>Rozsudek Soudního dvora ve věci C-57/09 (</w:t>
            </w:r>
            <w:r w:rsidRPr="00C47234">
              <w:rPr>
                <w:b/>
                <w:i/>
                <w:color w:val="000000"/>
              </w:rPr>
              <w:t>B</w:t>
            </w:r>
            <w:r w:rsidR="00B409E0">
              <w:rPr>
                <w:b/>
                <w:i/>
                <w:color w:val="000000"/>
              </w:rPr>
              <w:t xml:space="preserve"> </w:t>
            </w:r>
            <w:r w:rsidR="00B409E0" w:rsidRPr="00C47234">
              <w:rPr>
                <w:b/>
                <w:i/>
                <w:color w:val="000000"/>
              </w:rPr>
              <w:t>a</w:t>
            </w:r>
            <w:r w:rsidR="00B409E0">
              <w:rPr>
                <w:b/>
                <w:i/>
                <w:color w:val="000000"/>
              </w:rPr>
              <w:t> </w:t>
            </w:r>
            <w:r w:rsidRPr="00C47234">
              <w:rPr>
                <w:b/>
                <w:i/>
                <w:color w:val="000000"/>
              </w:rPr>
              <w:t>D</w:t>
            </w:r>
            <w:r w:rsidRPr="00C47234">
              <w:rPr>
                <w:b/>
                <w:color w:val="000000"/>
              </w:rPr>
              <w:t xml:space="preserve">, 9. listopadu 2010), </w:t>
            </w:r>
            <w:r w:rsidRPr="00C47234">
              <w:rPr>
                <w:b/>
                <w:bCs/>
                <w:color w:val="000000"/>
              </w:rPr>
              <w:t>žádost</w:t>
            </w:r>
            <w:r w:rsidR="00B409E0">
              <w:rPr>
                <w:b/>
                <w:bCs/>
                <w:color w:val="000000"/>
              </w:rPr>
              <w:t xml:space="preserve"> </w:t>
            </w:r>
            <w:r w:rsidR="00B409E0" w:rsidRPr="00C47234">
              <w:rPr>
                <w:b/>
                <w:bCs/>
                <w:color w:val="000000"/>
              </w:rPr>
              <w:t>o</w:t>
            </w:r>
            <w:r w:rsidR="00B409E0">
              <w:rPr>
                <w:b/>
                <w:bCs/>
                <w:color w:val="000000"/>
              </w:rPr>
              <w:t> </w:t>
            </w:r>
            <w:r w:rsidRPr="00C47234">
              <w:rPr>
                <w:b/>
                <w:bCs/>
                <w:color w:val="000000"/>
              </w:rPr>
              <w:t>rozhodnutí</w:t>
            </w:r>
            <w:r w:rsidR="00B409E0">
              <w:rPr>
                <w:b/>
                <w:bCs/>
                <w:color w:val="000000"/>
              </w:rPr>
              <w:t xml:space="preserve"> </w:t>
            </w:r>
            <w:r w:rsidR="00B409E0" w:rsidRPr="00C47234">
              <w:rPr>
                <w:b/>
                <w:bCs/>
                <w:color w:val="000000"/>
              </w:rPr>
              <w:t>o</w:t>
            </w:r>
            <w:r w:rsidR="00B409E0">
              <w:rPr>
                <w:b/>
                <w:bCs/>
                <w:color w:val="000000"/>
              </w:rPr>
              <w:t> </w:t>
            </w:r>
            <w:r w:rsidRPr="00C47234">
              <w:rPr>
                <w:b/>
                <w:bCs/>
                <w:color w:val="000000"/>
              </w:rPr>
              <w:t xml:space="preserve">předběžné otázce podaná </w:t>
            </w:r>
            <w:proofErr w:type="spellStart"/>
            <w:r w:rsidRPr="00C47234">
              <w:rPr>
                <w:b/>
                <w:color w:val="000000"/>
              </w:rPr>
              <w:t>Bundesverwaltungsgericht</w:t>
            </w:r>
            <w:proofErr w:type="spellEnd"/>
            <w:r w:rsidRPr="00C47234">
              <w:rPr>
                <w:b/>
                <w:color w:val="000000"/>
              </w:rPr>
              <w:t xml:space="preserve"> – Německo</w:t>
            </w:r>
          </w:p>
          <w:p w14:paraId="014FCF6C" w14:textId="77777777" w:rsidR="00C47234" w:rsidRDefault="00C47234" w:rsidP="00B409E0">
            <w:pPr>
              <w:jc w:val="both"/>
              <w:rPr>
                <w:color w:val="000000"/>
              </w:rPr>
            </w:pPr>
          </w:p>
          <w:p w14:paraId="6DD50BBE" w14:textId="77777777" w:rsidR="006726BC" w:rsidRPr="00A46D88" w:rsidRDefault="006726BC" w:rsidP="00B409E0">
            <w:pPr>
              <w:jc w:val="both"/>
              <w:rPr>
                <w:rFonts w:eastAsia="Times New Roman" w:cstheme="minorHAnsi"/>
                <w:i/>
                <w:color w:val="000000"/>
              </w:rPr>
            </w:pPr>
            <w:r w:rsidRPr="00A46D88">
              <w:rPr>
                <w:i/>
                <w:color w:val="000000"/>
              </w:rPr>
              <w:t xml:space="preserve">Klíčové </w:t>
            </w:r>
            <w:r w:rsidR="000D7693" w:rsidRPr="00A46D88">
              <w:rPr>
                <w:i/>
                <w:color w:val="000000"/>
              </w:rPr>
              <w:t>pojmy</w:t>
            </w:r>
            <w:r w:rsidRPr="00A46D88">
              <w:rPr>
                <w:i/>
                <w:color w:val="000000"/>
              </w:rPr>
              <w:t>: minimální standardy pro status uprchlíka nebo doplňkovou ochranu</w:t>
            </w:r>
            <w:r w:rsidR="00A46D88">
              <w:rPr>
                <w:i/>
                <w:color w:val="000000"/>
              </w:rPr>
              <w:t xml:space="preserve"> </w:t>
            </w:r>
            <w:r w:rsidR="00A46D88">
              <w:rPr>
                <w:i/>
              </w:rPr>
              <w:t>–</w:t>
            </w:r>
            <w:r w:rsidRPr="00A46D88">
              <w:rPr>
                <w:i/>
                <w:color w:val="000000"/>
              </w:rPr>
              <w:t xml:space="preserve"> vyloučení</w:t>
            </w:r>
            <w:r w:rsidR="00A46D88">
              <w:rPr>
                <w:i/>
                <w:color w:val="000000"/>
              </w:rPr>
              <w:t xml:space="preserve"> </w:t>
            </w:r>
            <w:r w:rsidR="00A46D88">
              <w:rPr>
                <w:i/>
              </w:rPr>
              <w:t>–</w:t>
            </w:r>
            <w:r w:rsidRPr="00A46D88">
              <w:rPr>
                <w:i/>
                <w:color w:val="000000"/>
              </w:rPr>
              <w:t xml:space="preserve"> závažná nepolitická trestná činnost</w:t>
            </w:r>
            <w:r w:rsidR="00A46D88">
              <w:rPr>
                <w:i/>
                <w:color w:val="000000"/>
              </w:rPr>
              <w:t xml:space="preserve"> </w:t>
            </w:r>
            <w:r w:rsidR="00A46D88">
              <w:rPr>
                <w:i/>
              </w:rPr>
              <w:t>–</w:t>
            </w:r>
            <w:r w:rsidRPr="00A46D88">
              <w:rPr>
                <w:i/>
                <w:color w:val="000000"/>
              </w:rPr>
              <w:t xml:space="preserve"> členství</w:t>
            </w:r>
            <w:r w:rsidR="00B409E0" w:rsidRPr="00A46D88">
              <w:rPr>
                <w:i/>
                <w:color w:val="000000"/>
              </w:rPr>
              <w:t xml:space="preserve"> v </w:t>
            </w:r>
            <w:r w:rsidRPr="00A46D88">
              <w:rPr>
                <w:i/>
                <w:color w:val="000000"/>
              </w:rPr>
              <w:t>teroristické organizaci</w:t>
            </w:r>
            <w:r w:rsidR="00A46D88">
              <w:rPr>
                <w:i/>
                <w:color w:val="000000"/>
              </w:rPr>
              <w:t xml:space="preserve"> </w:t>
            </w:r>
            <w:r w:rsidR="00A46D88">
              <w:rPr>
                <w:i/>
              </w:rPr>
              <w:t>–</w:t>
            </w:r>
            <w:r w:rsidRPr="00A46D88">
              <w:rPr>
                <w:i/>
                <w:color w:val="000000"/>
              </w:rPr>
              <w:t xml:space="preserve"> právo na azyl ve vnitrostátním ústavním právu</w:t>
            </w:r>
          </w:p>
          <w:p w14:paraId="213069FE" w14:textId="77777777" w:rsidR="0012120D" w:rsidRDefault="0012120D" w:rsidP="00B409E0">
            <w:pPr>
              <w:jc w:val="both"/>
              <w:rPr>
                <w:rFonts w:eastAsia="Times New Roman" w:cstheme="minorHAnsi"/>
                <w:b/>
                <w:bCs/>
                <w:color w:val="000000"/>
                <w:lang w:eastAsia="cs-CZ"/>
              </w:rPr>
            </w:pPr>
          </w:p>
          <w:p w14:paraId="595EFEED" w14:textId="77777777" w:rsidR="00C47234" w:rsidRPr="0012120D" w:rsidRDefault="00C47234" w:rsidP="00B409E0">
            <w:pPr>
              <w:jc w:val="both"/>
              <w:rPr>
                <w:rFonts w:eastAsia="Times New Roman" w:cstheme="minorHAnsi"/>
                <w:b/>
                <w:bCs/>
                <w:color w:val="000000"/>
                <w:lang w:eastAsia="cs-CZ"/>
              </w:rPr>
            </w:pPr>
          </w:p>
          <w:p w14:paraId="2C66B925" w14:textId="77777777" w:rsidR="0012120D" w:rsidRPr="00C47234" w:rsidRDefault="0012120D" w:rsidP="00B409E0">
            <w:pPr>
              <w:jc w:val="both"/>
              <w:rPr>
                <w:rFonts w:eastAsia="Times New Roman" w:cstheme="minorHAnsi"/>
                <w:b/>
                <w:bCs/>
                <w:color w:val="000000"/>
              </w:rPr>
            </w:pPr>
            <w:r w:rsidRPr="00C47234">
              <w:rPr>
                <w:b/>
                <w:color w:val="000000"/>
              </w:rPr>
              <w:t>Rozsudek Soudního dvora ve věci C-673/19 (</w:t>
            </w:r>
            <w:r w:rsidRPr="00C47234">
              <w:rPr>
                <w:b/>
                <w:i/>
                <w:color w:val="000000"/>
              </w:rPr>
              <w:t>M</w:t>
            </w:r>
            <w:r w:rsidR="00B409E0">
              <w:rPr>
                <w:b/>
                <w:i/>
                <w:color w:val="000000"/>
              </w:rPr>
              <w:t xml:space="preserve"> </w:t>
            </w:r>
            <w:r w:rsidR="00B409E0" w:rsidRPr="00C47234">
              <w:rPr>
                <w:b/>
                <w:i/>
                <w:color w:val="000000"/>
              </w:rPr>
              <w:t>a</w:t>
            </w:r>
            <w:r w:rsidR="00B409E0">
              <w:rPr>
                <w:b/>
                <w:i/>
                <w:color w:val="000000"/>
              </w:rPr>
              <w:t> </w:t>
            </w:r>
            <w:r w:rsidRPr="00C47234">
              <w:rPr>
                <w:b/>
                <w:i/>
                <w:color w:val="000000"/>
              </w:rPr>
              <w:t xml:space="preserve">další v. </w:t>
            </w:r>
            <w:proofErr w:type="spellStart"/>
            <w:r w:rsidRPr="00C47234">
              <w:rPr>
                <w:b/>
                <w:i/>
                <w:color w:val="000000"/>
              </w:rPr>
              <w:t>Staatssecretaris</w:t>
            </w:r>
            <w:proofErr w:type="spellEnd"/>
            <w:r w:rsidRPr="00C47234">
              <w:rPr>
                <w:b/>
                <w:i/>
                <w:color w:val="000000"/>
              </w:rPr>
              <w:t xml:space="preserve"> van </w:t>
            </w:r>
            <w:proofErr w:type="spellStart"/>
            <w:r w:rsidRPr="00C47234">
              <w:rPr>
                <w:b/>
                <w:i/>
                <w:color w:val="000000"/>
              </w:rPr>
              <w:t>Justitie</w:t>
            </w:r>
            <w:proofErr w:type="spellEnd"/>
            <w:r w:rsidRPr="00C47234">
              <w:rPr>
                <w:b/>
                <w:i/>
                <w:color w:val="000000"/>
              </w:rPr>
              <w:t xml:space="preserve"> en </w:t>
            </w:r>
            <w:proofErr w:type="spellStart"/>
            <w:r w:rsidRPr="00C47234">
              <w:rPr>
                <w:b/>
                <w:i/>
                <w:color w:val="000000"/>
              </w:rPr>
              <w:t>Veiligheid</w:t>
            </w:r>
            <w:proofErr w:type="spellEnd"/>
            <w:r w:rsidR="00B409E0">
              <w:rPr>
                <w:b/>
                <w:i/>
                <w:color w:val="000000"/>
              </w:rPr>
              <w:t xml:space="preserve"> </w:t>
            </w:r>
            <w:r w:rsidR="00B409E0" w:rsidRPr="00C47234">
              <w:rPr>
                <w:b/>
                <w:i/>
                <w:color w:val="000000"/>
              </w:rPr>
              <w:t>a</w:t>
            </w:r>
            <w:r w:rsidR="00B409E0">
              <w:rPr>
                <w:b/>
                <w:i/>
                <w:color w:val="000000"/>
              </w:rPr>
              <w:t> </w:t>
            </w:r>
            <w:r w:rsidRPr="00C47234">
              <w:rPr>
                <w:b/>
                <w:i/>
                <w:color w:val="000000"/>
              </w:rPr>
              <w:t>T.</w:t>
            </w:r>
            <w:r w:rsidRPr="00C47234">
              <w:rPr>
                <w:b/>
                <w:color w:val="000000"/>
              </w:rPr>
              <w:t xml:space="preserve">, 24. února 2021), </w:t>
            </w:r>
            <w:r w:rsidRPr="00C47234">
              <w:rPr>
                <w:b/>
                <w:bCs/>
                <w:color w:val="000000"/>
              </w:rPr>
              <w:t>žádost</w:t>
            </w:r>
            <w:r w:rsidR="00B409E0">
              <w:rPr>
                <w:b/>
                <w:bCs/>
                <w:color w:val="000000"/>
              </w:rPr>
              <w:t xml:space="preserve"> </w:t>
            </w:r>
            <w:r w:rsidR="00B409E0" w:rsidRPr="00C47234">
              <w:rPr>
                <w:b/>
                <w:bCs/>
                <w:color w:val="000000"/>
              </w:rPr>
              <w:t>o</w:t>
            </w:r>
            <w:r w:rsidR="00B409E0">
              <w:rPr>
                <w:b/>
                <w:bCs/>
                <w:color w:val="000000"/>
              </w:rPr>
              <w:t> </w:t>
            </w:r>
            <w:r w:rsidRPr="00C47234">
              <w:rPr>
                <w:b/>
                <w:bCs/>
                <w:color w:val="000000"/>
              </w:rPr>
              <w:t>rozhodnutí</w:t>
            </w:r>
            <w:r w:rsidR="00B409E0">
              <w:rPr>
                <w:b/>
                <w:bCs/>
                <w:color w:val="000000"/>
              </w:rPr>
              <w:t xml:space="preserve"> </w:t>
            </w:r>
            <w:r w:rsidR="00B409E0" w:rsidRPr="00C47234">
              <w:rPr>
                <w:b/>
                <w:bCs/>
                <w:color w:val="000000"/>
              </w:rPr>
              <w:t>o</w:t>
            </w:r>
            <w:r w:rsidR="00B409E0">
              <w:rPr>
                <w:b/>
                <w:bCs/>
                <w:color w:val="000000"/>
              </w:rPr>
              <w:t> </w:t>
            </w:r>
            <w:r w:rsidRPr="00C47234">
              <w:rPr>
                <w:b/>
                <w:bCs/>
                <w:color w:val="000000"/>
              </w:rPr>
              <w:t xml:space="preserve">předběžné otázce podaná </w:t>
            </w:r>
            <w:proofErr w:type="spellStart"/>
            <w:r w:rsidRPr="00C47234">
              <w:rPr>
                <w:b/>
                <w:color w:val="000000"/>
              </w:rPr>
              <w:t>Raad</w:t>
            </w:r>
            <w:proofErr w:type="spellEnd"/>
            <w:r w:rsidRPr="00C47234">
              <w:rPr>
                <w:b/>
                <w:color w:val="000000"/>
              </w:rPr>
              <w:t xml:space="preserve"> van </w:t>
            </w:r>
            <w:proofErr w:type="spellStart"/>
            <w:r w:rsidRPr="00C47234">
              <w:rPr>
                <w:b/>
                <w:color w:val="000000"/>
              </w:rPr>
              <w:t>State</w:t>
            </w:r>
            <w:proofErr w:type="spellEnd"/>
            <w:r w:rsidRPr="00C47234">
              <w:rPr>
                <w:b/>
                <w:color w:val="000000"/>
              </w:rPr>
              <w:t xml:space="preserve"> (Nizozemsko)</w:t>
            </w:r>
          </w:p>
          <w:p w14:paraId="7BD97B42" w14:textId="77777777" w:rsidR="00C47234" w:rsidRDefault="00C47234" w:rsidP="00B409E0">
            <w:pPr>
              <w:jc w:val="both"/>
              <w:rPr>
                <w:color w:val="000000"/>
              </w:rPr>
            </w:pPr>
          </w:p>
          <w:p w14:paraId="615A835E" w14:textId="77777777" w:rsidR="0012120D" w:rsidRPr="00A46D88" w:rsidRDefault="0012120D" w:rsidP="00B409E0">
            <w:pPr>
              <w:jc w:val="both"/>
              <w:rPr>
                <w:rFonts w:eastAsia="Times New Roman" w:cstheme="minorHAnsi"/>
                <w:i/>
                <w:color w:val="000000"/>
              </w:rPr>
            </w:pPr>
            <w:r w:rsidRPr="00A46D88">
              <w:rPr>
                <w:i/>
                <w:color w:val="000000"/>
              </w:rPr>
              <w:t xml:space="preserve">Klíčové </w:t>
            </w:r>
            <w:r w:rsidR="000D7693" w:rsidRPr="00A46D88">
              <w:rPr>
                <w:i/>
                <w:color w:val="000000"/>
              </w:rPr>
              <w:t>pojmy</w:t>
            </w:r>
            <w:r w:rsidRPr="00A46D88">
              <w:rPr>
                <w:i/>
                <w:color w:val="000000"/>
              </w:rPr>
              <w:t>: nezákonný pobyt</w:t>
            </w:r>
            <w:r w:rsidR="00A46D88">
              <w:rPr>
                <w:i/>
                <w:color w:val="000000"/>
              </w:rPr>
              <w:t xml:space="preserve"> </w:t>
            </w:r>
            <w:r w:rsidR="00A46D88">
              <w:rPr>
                <w:i/>
              </w:rPr>
              <w:t>–</w:t>
            </w:r>
            <w:r w:rsidRPr="00A46D88">
              <w:rPr>
                <w:i/>
                <w:color w:val="000000"/>
              </w:rPr>
              <w:t xml:space="preserve"> zajištění za účelem přemístění do jiného členského státu</w:t>
            </w:r>
            <w:r w:rsidR="00A46D88">
              <w:rPr>
                <w:i/>
                <w:color w:val="000000"/>
              </w:rPr>
              <w:t xml:space="preserve"> </w:t>
            </w:r>
            <w:r w:rsidR="00A46D88">
              <w:rPr>
                <w:i/>
              </w:rPr>
              <w:t xml:space="preserve">– </w:t>
            </w:r>
            <w:r w:rsidRPr="00A46D88">
              <w:rPr>
                <w:i/>
                <w:color w:val="000000"/>
              </w:rPr>
              <w:t>neexistence rozhodnutí</w:t>
            </w:r>
            <w:r w:rsidR="00B409E0" w:rsidRPr="00A46D88">
              <w:rPr>
                <w:i/>
                <w:color w:val="000000"/>
              </w:rPr>
              <w:t xml:space="preserve"> o </w:t>
            </w:r>
            <w:r w:rsidRPr="00A46D88">
              <w:rPr>
                <w:i/>
                <w:color w:val="000000"/>
              </w:rPr>
              <w:t>navrácení</w:t>
            </w:r>
            <w:r w:rsidR="00A46D88">
              <w:rPr>
                <w:i/>
                <w:color w:val="000000"/>
              </w:rPr>
              <w:t xml:space="preserve"> </w:t>
            </w:r>
            <w:r w:rsidR="00A46D88">
              <w:rPr>
                <w:i/>
              </w:rPr>
              <w:t>–</w:t>
            </w:r>
            <w:r w:rsidRPr="00A46D88">
              <w:rPr>
                <w:i/>
                <w:color w:val="000000"/>
              </w:rPr>
              <w:t xml:space="preserve"> nucené přemístění</w:t>
            </w:r>
            <w:r w:rsidR="00A46D88">
              <w:rPr>
                <w:i/>
                <w:color w:val="000000"/>
              </w:rPr>
              <w:t xml:space="preserve"> </w:t>
            </w:r>
            <w:r w:rsidR="00A46D88">
              <w:rPr>
                <w:i/>
              </w:rPr>
              <w:t>–</w:t>
            </w:r>
            <w:r w:rsidRPr="00A46D88">
              <w:rPr>
                <w:i/>
                <w:color w:val="000000"/>
              </w:rPr>
              <w:t xml:space="preserve"> odmítnutí dodržet rozhodnutí</w:t>
            </w:r>
          </w:p>
          <w:p w14:paraId="686E98AB" w14:textId="77777777" w:rsidR="0012120D" w:rsidRDefault="0012120D" w:rsidP="00B409E0">
            <w:pPr>
              <w:jc w:val="both"/>
              <w:rPr>
                <w:rFonts w:eastAsia="Times New Roman" w:cstheme="minorHAnsi"/>
                <w:color w:val="000000"/>
                <w:lang w:eastAsia="cs-CZ"/>
              </w:rPr>
            </w:pPr>
          </w:p>
          <w:p w14:paraId="75E3CB0F" w14:textId="77777777" w:rsidR="00C47234" w:rsidRDefault="00C47234" w:rsidP="00B409E0">
            <w:pPr>
              <w:jc w:val="both"/>
              <w:rPr>
                <w:rFonts w:eastAsia="Times New Roman" w:cstheme="minorHAnsi"/>
                <w:color w:val="000000"/>
                <w:lang w:eastAsia="cs-CZ"/>
              </w:rPr>
            </w:pPr>
          </w:p>
          <w:p w14:paraId="3EF1F0B7" w14:textId="77777777" w:rsidR="0012120D" w:rsidRPr="00C47234" w:rsidRDefault="0012120D" w:rsidP="00B409E0">
            <w:pPr>
              <w:jc w:val="both"/>
              <w:rPr>
                <w:rFonts w:eastAsia="Times New Roman" w:cstheme="minorHAnsi"/>
                <w:b/>
                <w:bCs/>
                <w:color w:val="000000"/>
              </w:rPr>
            </w:pPr>
            <w:r w:rsidRPr="00C47234">
              <w:rPr>
                <w:b/>
                <w:color w:val="000000"/>
              </w:rPr>
              <w:t>Rozsudek Soudního dvora ve věci C-808/18 (</w:t>
            </w:r>
            <w:r w:rsidRPr="00C47234">
              <w:rPr>
                <w:b/>
                <w:i/>
                <w:iCs/>
                <w:color w:val="000000"/>
              </w:rPr>
              <w:t>Evropská komise v. Maďarsko</w:t>
            </w:r>
            <w:r w:rsidRPr="00C47234">
              <w:rPr>
                <w:b/>
                <w:i/>
                <w:color w:val="000000"/>
              </w:rPr>
              <w:t xml:space="preserve">, </w:t>
            </w:r>
            <w:r w:rsidRPr="00C47234">
              <w:rPr>
                <w:b/>
                <w:color w:val="000000"/>
              </w:rPr>
              <w:t xml:space="preserve">17. prosince 2020), </w:t>
            </w:r>
            <w:r w:rsidRPr="00C47234">
              <w:rPr>
                <w:b/>
                <w:bCs/>
                <w:color w:val="000000"/>
              </w:rPr>
              <w:t>žaloba pro nesplnění povinnosti</w:t>
            </w:r>
          </w:p>
          <w:p w14:paraId="62AC7678" w14:textId="77777777" w:rsidR="00C47234" w:rsidRDefault="00C47234" w:rsidP="00B409E0">
            <w:pPr>
              <w:jc w:val="both"/>
              <w:rPr>
                <w:color w:val="000000"/>
              </w:rPr>
            </w:pPr>
          </w:p>
          <w:p w14:paraId="0D49B935" w14:textId="77777777" w:rsidR="0012120D" w:rsidRPr="00A46D88" w:rsidRDefault="0012120D" w:rsidP="00B409E0">
            <w:pPr>
              <w:jc w:val="both"/>
              <w:rPr>
                <w:rFonts w:eastAsia="Times New Roman" w:cstheme="minorHAnsi"/>
                <w:i/>
                <w:color w:val="000000"/>
              </w:rPr>
            </w:pPr>
            <w:r w:rsidRPr="00A46D88">
              <w:rPr>
                <w:i/>
                <w:color w:val="000000"/>
              </w:rPr>
              <w:t xml:space="preserve">Klíčové </w:t>
            </w:r>
            <w:r w:rsidR="000D7693" w:rsidRPr="00A46D88">
              <w:rPr>
                <w:i/>
                <w:color w:val="000000"/>
              </w:rPr>
              <w:t>pojmy</w:t>
            </w:r>
            <w:r w:rsidRPr="00A46D88">
              <w:rPr>
                <w:i/>
                <w:color w:val="000000"/>
              </w:rPr>
              <w:t>: řízení</w:t>
            </w:r>
            <w:r w:rsidR="00B409E0" w:rsidRPr="00A46D88">
              <w:rPr>
                <w:i/>
                <w:color w:val="000000"/>
              </w:rPr>
              <w:t xml:space="preserve"> o </w:t>
            </w:r>
            <w:r w:rsidRPr="00A46D88">
              <w:rPr>
                <w:i/>
                <w:color w:val="000000"/>
              </w:rPr>
              <w:t>přiznání mezinárodní ochrany</w:t>
            </w:r>
            <w:r w:rsidR="00A46D88">
              <w:rPr>
                <w:i/>
                <w:color w:val="000000"/>
              </w:rPr>
              <w:t xml:space="preserve"> </w:t>
            </w:r>
            <w:r w:rsidR="00A46D88">
              <w:rPr>
                <w:i/>
              </w:rPr>
              <w:t>–</w:t>
            </w:r>
            <w:r w:rsidRPr="00A46D88">
              <w:rPr>
                <w:i/>
                <w:color w:val="000000"/>
              </w:rPr>
              <w:t xml:space="preserve"> řízení na hranicích</w:t>
            </w:r>
            <w:r w:rsidR="00A46D88">
              <w:rPr>
                <w:i/>
                <w:color w:val="000000"/>
              </w:rPr>
              <w:t xml:space="preserve"> </w:t>
            </w:r>
            <w:r w:rsidR="00A46D88">
              <w:rPr>
                <w:i/>
              </w:rPr>
              <w:t>–</w:t>
            </w:r>
            <w:r w:rsidRPr="00A46D88">
              <w:rPr>
                <w:i/>
                <w:color w:val="000000"/>
              </w:rPr>
              <w:t xml:space="preserve"> procesní záruky</w:t>
            </w:r>
            <w:r w:rsidR="00A46D88">
              <w:rPr>
                <w:i/>
                <w:color w:val="000000"/>
              </w:rPr>
              <w:t xml:space="preserve"> </w:t>
            </w:r>
            <w:r w:rsidR="00A46D88">
              <w:rPr>
                <w:i/>
              </w:rPr>
              <w:t>–</w:t>
            </w:r>
            <w:r w:rsidRPr="00A46D88">
              <w:rPr>
                <w:i/>
                <w:color w:val="000000"/>
              </w:rPr>
              <w:t xml:space="preserve"> zajištění</w:t>
            </w:r>
            <w:r w:rsidR="00A46D88">
              <w:rPr>
                <w:i/>
                <w:color w:val="000000"/>
              </w:rPr>
              <w:t xml:space="preserve"> </w:t>
            </w:r>
            <w:r w:rsidR="00A46D88">
              <w:rPr>
                <w:i/>
              </w:rPr>
              <w:t>–</w:t>
            </w:r>
            <w:r w:rsidRPr="00A46D88">
              <w:rPr>
                <w:i/>
                <w:color w:val="000000"/>
              </w:rPr>
              <w:t xml:space="preserve"> právo setrvat na území</w:t>
            </w:r>
          </w:p>
          <w:p w14:paraId="608C75E9" w14:textId="77777777" w:rsidR="00CA5340" w:rsidRDefault="00CA5340" w:rsidP="0099308C">
            <w:pPr>
              <w:jc w:val="both"/>
              <w:rPr>
                <w:i/>
                <w:iCs/>
              </w:rPr>
            </w:pPr>
          </w:p>
          <w:p w14:paraId="433D9462" w14:textId="77777777" w:rsidR="0099308C" w:rsidRPr="00602781" w:rsidRDefault="0099308C" w:rsidP="0099308C">
            <w:pPr>
              <w:jc w:val="both"/>
              <w:rPr>
                <w:i/>
                <w:iCs/>
              </w:rPr>
            </w:pPr>
          </w:p>
        </w:tc>
      </w:tr>
      <w:tr w:rsidR="00CA5340" w:rsidRPr="00470C01" w14:paraId="0BB889FB" w14:textId="77777777" w:rsidTr="00541A2A">
        <w:tc>
          <w:tcPr>
            <w:tcW w:w="8494" w:type="dxa"/>
          </w:tcPr>
          <w:p w14:paraId="3590B690" w14:textId="77777777" w:rsidR="00CA5340" w:rsidRPr="00470C01" w:rsidRDefault="00CA5340" w:rsidP="00B409E0">
            <w:pPr>
              <w:jc w:val="both"/>
              <w:rPr>
                <w:rFonts w:ascii="Calibri" w:hAnsi="Calibri" w:cs="Calibri"/>
                <w:b/>
                <w:bCs/>
              </w:rPr>
            </w:pPr>
            <w:r>
              <w:rPr>
                <w:rFonts w:ascii="Calibri" w:hAnsi="Calibri"/>
                <w:b/>
              </w:rPr>
              <w:lastRenderedPageBreak/>
              <w:t>Důležité</w:t>
            </w:r>
          </w:p>
        </w:tc>
      </w:tr>
      <w:tr w:rsidR="00CA5340" w:rsidRPr="00470C01" w14:paraId="0EA8AE54" w14:textId="77777777" w:rsidTr="00541A2A">
        <w:tc>
          <w:tcPr>
            <w:tcW w:w="8494" w:type="dxa"/>
          </w:tcPr>
          <w:p w14:paraId="57DE3D00" w14:textId="77777777" w:rsidR="00BC3B00" w:rsidRPr="00602781" w:rsidRDefault="00BC3B00" w:rsidP="00B409E0">
            <w:pPr>
              <w:jc w:val="both"/>
              <w:rPr>
                <w:rFonts w:ascii="Calibri" w:hAnsi="Calibri" w:cs="Calibri"/>
                <w:i/>
                <w:iCs/>
              </w:rPr>
            </w:pPr>
          </w:p>
          <w:p w14:paraId="728A05D6" w14:textId="77777777" w:rsidR="00846D63" w:rsidRPr="00846D63" w:rsidRDefault="00846D63" w:rsidP="00B409E0">
            <w:pPr>
              <w:jc w:val="both"/>
              <w:rPr>
                <w:rFonts w:ascii="Calibri" w:hAnsi="Calibri" w:cs="Calibri"/>
              </w:rPr>
            </w:pPr>
            <w:r>
              <w:rPr>
                <w:rFonts w:ascii="Calibri" w:hAnsi="Calibri"/>
              </w:rPr>
              <w:t>Komplex unijního azylového práva předkládá množství nevyřešených otázek, které bude muset SDEU</w:t>
            </w:r>
            <w:r w:rsidR="00B409E0">
              <w:rPr>
                <w:rFonts w:ascii="Calibri" w:hAnsi="Calibri"/>
              </w:rPr>
              <w:t xml:space="preserve"> v </w:t>
            </w:r>
            <w:r>
              <w:rPr>
                <w:rFonts w:ascii="Calibri" w:hAnsi="Calibri"/>
              </w:rPr>
              <w:t xml:space="preserve">budoucnu rozhodnout. </w:t>
            </w:r>
          </w:p>
          <w:p w14:paraId="340EC4D3" w14:textId="77777777" w:rsidR="00846D63" w:rsidRPr="00602781" w:rsidRDefault="00846D63" w:rsidP="00B409E0">
            <w:pPr>
              <w:jc w:val="both"/>
              <w:rPr>
                <w:rFonts w:ascii="Calibri" w:hAnsi="Calibri" w:cs="Calibri"/>
              </w:rPr>
            </w:pPr>
          </w:p>
          <w:p w14:paraId="35A1A3A7" w14:textId="77777777" w:rsidR="00DB52D0" w:rsidRDefault="00846D63" w:rsidP="00B409E0">
            <w:pPr>
              <w:jc w:val="both"/>
              <w:rPr>
                <w:rFonts w:ascii="Calibri" w:hAnsi="Calibri" w:cs="Calibri"/>
              </w:rPr>
            </w:pPr>
            <w:r>
              <w:rPr>
                <w:rFonts w:ascii="Calibri" w:hAnsi="Calibri"/>
              </w:rPr>
              <w:t>V</w:t>
            </w:r>
            <w:r w:rsidR="00A46D88">
              <w:rPr>
                <w:rFonts w:ascii="Calibri" w:hAnsi="Calibri"/>
              </w:rPr>
              <w:t> </w:t>
            </w:r>
            <w:r>
              <w:rPr>
                <w:rFonts w:ascii="Calibri" w:hAnsi="Calibri"/>
              </w:rPr>
              <w:t>první řadě je třeba konstatovat, že SDEU nikdy nevyjádřil podrobný náhled na přesný obsah práva na azyl. Obsahuje článek 18 skutečný nárok jednotlivce na azyl? Co přesně je součástí článku 18? Všechny tyto otázky zůstávají před SDEU nerozhodnuty, neboť Soudní dvůr poskytuje ve své judikatuře pouze náznaky odpovědí na tyto otázky.</w:t>
            </w:r>
          </w:p>
          <w:p w14:paraId="150FFEB5" w14:textId="77777777" w:rsidR="00DB52D0" w:rsidRPr="00602781" w:rsidRDefault="00DB52D0" w:rsidP="00B409E0">
            <w:pPr>
              <w:jc w:val="both"/>
              <w:rPr>
                <w:rFonts w:ascii="Calibri" w:hAnsi="Calibri" w:cs="Calibri"/>
              </w:rPr>
            </w:pPr>
          </w:p>
          <w:p w14:paraId="21AB32B5" w14:textId="77777777" w:rsidR="00DB52D0" w:rsidRDefault="00DB52D0" w:rsidP="00B409E0">
            <w:pPr>
              <w:jc w:val="both"/>
              <w:rPr>
                <w:rFonts w:ascii="Calibri" w:hAnsi="Calibri" w:cs="Calibri"/>
              </w:rPr>
            </w:pPr>
            <w:r>
              <w:rPr>
                <w:rFonts w:ascii="Calibri" w:hAnsi="Calibri"/>
              </w:rPr>
              <w:t>Kromě toho bývá obsah článku 18 obvykle definován sadou právních nástrojů</w:t>
            </w:r>
            <w:r w:rsidR="00B409E0">
              <w:rPr>
                <w:rFonts w:ascii="Calibri" w:hAnsi="Calibri"/>
              </w:rPr>
              <w:t xml:space="preserve"> v </w:t>
            </w:r>
            <w:r>
              <w:rPr>
                <w:rFonts w:ascii="Calibri" w:hAnsi="Calibri"/>
              </w:rPr>
              <w:t>rámci SEAS. Tento náhled na věc by se však měl</w:t>
            </w:r>
            <w:r w:rsidR="00B409E0">
              <w:rPr>
                <w:rFonts w:ascii="Calibri" w:hAnsi="Calibri"/>
              </w:rPr>
              <w:t xml:space="preserve"> s </w:t>
            </w:r>
            <w:r>
              <w:rPr>
                <w:rFonts w:ascii="Calibri" w:hAnsi="Calibri"/>
              </w:rPr>
              <w:t>ohledem na nadřazenost Listiny ve vztahu</w:t>
            </w:r>
            <w:r w:rsidR="00B409E0">
              <w:rPr>
                <w:rFonts w:ascii="Calibri" w:hAnsi="Calibri"/>
              </w:rPr>
              <w:t xml:space="preserve"> k </w:t>
            </w:r>
            <w:r>
              <w:rPr>
                <w:rFonts w:ascii="Calibri" w:hAnsi="Calibri"/>
              </w:rPr>
              <w:t>sekundární legislativě otočit. Kriticky uvažující advokát by si tak měl ve své praxi položit následující otázku: Jsou ustanovení různých dokumentů SEAS</w:t>
            </w:r>
            <w:r w:rsidR="00B409E0">
              <w:rPr>
                <w:rFonts w:ascii="Calibri" w:hAnsi="Calibri"/>
              </w:rPr>
              <w:t xml:space="preserve"> v </w:t>
            </w:r>
            <w:r>
              <w:rPr>
                <w:rFonts w:ascii="Calibri" w:hAnsi="Calibri"/>
              </w:rPr>
              <w:t>souladu</w:t>
            </w:r>
            <w:r w:rsidR="00B409E0">
              <w:rPr>
                <w:rFonts w:ascii="Calibri" w:hAnsi="Calibri"/>
              </w:rPr>
              <w:t xml:space="preserve"> s </w:t>
            </w:r>
            <w:r>
              <w:rPr>
                <w:rFonts w:ascii="Calibri" w:hAnsi="Calibri"/>
              </w:rPr>
              <w:t>právem na azyl? Používají členské státy správně standardy pro uprchlíky</w:t>
            </w:r>
            <w:r w:rsidR="00B409E0">
              <w:rPr>
                <w:rFonts w:ascii="Calibri" w:hAnsi="Calibri"/>
              </w:rPr>
              <w:t xml:space="preserve"> a </w:t>
            </w:r>
            <w:r>
              <w:rPr>
                <w:rFonts w:ascii="Calibri" w:hAnsi="Calibri"/>
              </w:rPr>
              <w:t>jednotlivé žadatele</w:t>
            </w:r>
            <w:r w:rsidR="00B409E0">
              <w:rPr>
                <w:rFonts w:ascii="Calibri" w:hAnsi="Calibri"/>
              </w:rPr>
              <w:t xml:space="preserve"> o </w:t>
            </w:r>
            <w:r>
              <w:rPr>
                <w:rFonts w:ascii="Calibri" w:hAnsi="Calibri"/>
              </w:rPr>
              <w:t>mezinárodní ochranu, pokud jde</w:t>
            </w:r>
            <w:r w:rsidR="00B409E0">
              <w:rPr>
                <w:rFonts w:ascii="Calibri" w:hAnsi="Calibri"/>
              </w:rPr>
              <w:t xml:space="preserve"> o </w:t>
            </w:r>
            <w:r>
              <w:rPr>
                <w:rFonts w:ascii="Calibri" w:hAnsi="Calibri"/>
              </w:rPr>
              <w:t>existenci práva na azyl?</w:t>
            </w:r>
            <w:r w:rsidR="00B409E0">
              <w:rPr>
                <w:rFonts w:ascii="Calibri" w:hAnsi="Calibri"/>
              </w:rPr>
              <w:t xml:space="preserve"> A </w:t>
            </w:r>
            <w:r>
              <w:rPr>
                <w:rFonts w:ascii="Calibri" w:hAnsi="Calibri"/>
              </w:rPr>
              <w:t>jsou práva zaručená dalšími ustanoveními Listiny respektována</w:t>
            </w:r>
            <w:r w:rsidR="00B409E0">
              <w:rPr>
                <w:rFonts w:ascii="Calibri" w:hAnsi="Calibri"/>
              </w:rPr>
              <w:t xml:space="preserve"> a </w:t>
            </w:r>
            <w:r>
              <w:rPr>
                <w:rFonts w:ascii="Calibri" w:hAnsi="Calibri"/>
              </w:rPr>
              <w:t xml:space="preserve">řádně prováděna? </w:t>
            </w:r>
          </w:p>
          <w:p w14:paraId="3FC51223" w14:textId="77777777" w:rsidR="00DB52D0" w:rsidRPr="00602781" w:rsidRDefault="00DB52D0" w:rsidP="00B409E0">
            <w:pPr>
              <w:jc w:val="both"/>
              <w:rPr>
                <w:rFonts w:ascii="Calibri" w:hAnsi="Calibri" w:cs="Calibri"/>
              </w:rPr>
            </w:pPr>
          </w:p>
          <w:p w14:paraId="06558E07" w14:textId="77777777" w:rsidR="00846D63" w:rsidRPr="00DB52D0" w:rsidRDefault="003F27A0" w:rsidP="00B409E0">
            <w:pPr>
              <w:jc w:val="both"/>
              <w:rPr>
                <w:rFonts w:ascii="Calibri" w:hAnsi="Calibri" w:cs="Calibri"/>
              </w:rPr>
            </w:pPr>
            <w:r>
              <w:rPr>
                <w:rFonts w:ascii="Calibri" w:hAnsi="Calibri"/>
              </w:rPr>
              <w:t xml:space="preserve">Přijetí Nového </w:t>
            </w:r>
            <w:r w:rsidR="00D970D7">
              <w:rPr>
                <w:rFonts w:ascii="Calibri" w:hAnsi="Calibri"/>
              </w:rPr>
              <w:t>p</w:t>
            </w:r>
            <w:r>
              <w:rPr>
                <w:rFonts w:ascii="Calibri" w:hAnsi="Calibri"/>
              </w:rPr>
              <w:t>aktu</w:t>
            </w:r>
            <w:r w:rsidR="00B409E0">
              <w:rPr>
                <w:rFonts w:ascii="Calibri" w:hAnsi="Calibri"/>
              </w:rPr>
              <w:t xml:space="preserve"> o </w:t>
            </w:r>
            <w:r>
              <w:rPr>
                <w:rFonts w:ascii="Calibri" w:hAnsi="Calibri"/>
              </w:rPr>
              <w:t>migraci, možného nástupce SEAS, přidává</w:t>
            </w:r>
            <w:r w:rsidR="00B409E0">
              <w:rPr>
                <w:rFonts w:ascii="Calibri" w:hAnsi="Calibri"/>
              </w:rPr>
              <w:t xml:space="preserve"> k </w:t>
            </w:r>
            <w:r>
              <w:rPr>
                <w:rFonts w:ascii="Calibri" w:hAnsi="Calibri"/>
              </w:rPr>
              <w:t>těmto otázkám další rozměr, neboť tato potenciální revoluce</w:t>
            </w:r>
            <w:r w:rsidR="00B409E0">
              <w:rPr>
                <w:rFonts w:ascii="Calibri" w:hAnsi="Calibri"/>
              </w:rPr>
              <w:t xml:space="preserve"> v </w:t>
            </w:r>
            <w:r>
              <w:rPr>
                <w:rFonts w:ascii="Calibri" w:hAnsi="Calibri"/>
              </w:rPr>
              <w:t>unijním azylovém právu může přinést některé nové příležitosti</w:t>
            </w:r>
            <w:r w:rsidR="00B409E0">
              <w:rPr>
                <w:rFonts w:ascii="Calibri" w:hAnsi="Calibri"/>
              </w:rPr>
              <w:t xml:space="preserve"> k </w:t>
            </w:r>
            <w:r>
              <w:rPr>
                <w:rFonts w:ascii="Calibri" w:hAnsi="Calibri"/>
              </w:rPr>
              <w:t xml:space="preserve">objasnění rozsahu článku 18. </w:t>
            </w:r>
          </w:p>
          <w:p w14:paraId="1B3656B2" w14:textId="77777777" w:rsidR="00CA5340" w:rsidRPr="00602781" w:rsidRDefault="00CA5340" w:rsidP="00B409E0">
            <w:pPr>
              <w:jc w:val="both"/>
              <w:rPr>
                <w:rFonts w:ascii="Calibri" w:hAnsi="Calibri" w:cs="Calibri"/>
                <w:i/>
                <w:iCs/>
              </w:rPr>
            </w:pPr>
          </w:p>
        </w:tc>
      </w:tr>
      <w:tr w:rsidR="00CA5340" w:rsidRPr="00470C01" w14:paraId="113EA387" w14:textId="77777777" w:rsidTr="00541A2A">
        <w:tc>
          <w:tcPr>
            <w:tcW w:w="8494" w:type="dxa"/>
          </w:tcPr>
          <w:p w14:paraId="783480D0" w14:textId="77777777" w:rsidR="00CA5340" w:rsidRPr="00470C01" w:rsidRDefault="00CA5340" w:rsidP="00B409E0">
            <w:pPr>
              <w:jc w:val="both"/>
              <w:rPr>
                <w:rFonts w:ascii="Calibri" w:hAnsi="Calibri" w:cs="Calibri"/>
                <w:b/>
                <w:bCs/>
              </w:rPr>
            </w:pPr>
            <w:r>
              <w:rPr>
                <w:rFonts w:ascii="Calibri" w:hAnsi="Calibri"/>
                <w:b/>
              </w:rPr>
              <w:t>Soulad</w:t>
            </w:r>
            <w:r w:rsidR="00B409E0">
              <w:rPr>
                <w:rFonts w:ascii="Calibri" w:hAnsi="Calibri"/>
                <w:b/>
              </w:rPr>
              <w:t xml:space="preserve"> s </w:t>
            </w:r>
            <w:r>
              <w:rPr>
                <w:rFonts w:ascii="Calibri" w:hAnsi="Calibri"/>
                <w:b/>
              </w:rPr>
              <w:t>dalšími evropskými/mezinárodními dokumenty</w:t>
            </w:r>
          </w:p>
        </w:tc>
      </w:tr>
      <w:tr w:rsidR="00CA5340" w:rsidRPr="00470C01" w14:paraId="580B9CE1" w14:textId="77777777" w:rsidTr="00541A2A">
        <w:tc>
          <w:tcPr>
            <w:tcW w:w="8494" w:type="dxa"/>
          </w:tcPr>
          <w:p w14:paraId="689FAA03" w14:textId="77777777" w:rsidR="00DB52D0" w:rsidRPr="00602781" w:rsidRDefault="00DB52D0" w:rsidP="00B409E0">
            <w:pPr>
              <w:jc w:val="both"/>
              <w:rPr>
                <w:rFonts w:ascii="Calibri" w:hAnsi="Calibri" w:cs="Calibri"/>
                <w:i/>
                <w:iCs/>
              </w:rPr>
            </w:pPr>
          </w:p>
          <w:p w14:paraId="504A2B53" w14:textId="77777777" w:rsidR="00DB52D0" w:rsidRDefault="00DB52D0" w:rsidP="00B409E0">
            <w:pPr>
              <w:jc w:val="both"/>
              <w:rPr>
                <w:rFonts w:ascii="Calibri" w:hAnsi="Calibri" w:cs="Calibri"/>
              </w:rPr>
            </w:pPr>
            <w:r>
              <w:rPr>
                <w:rFonts w:ascii="Calibri" w:hAnsi="Calibri"/>
              </w:rPr>
              <w:t>Článek 14, UDHR</w:t>
            </w:r>
          </w:p>
          <w:p w14:paraId="486D011E" w14:textId="77777777" w:rsidR="00DB52D0" w:rsidRDefault="00DB52D0" w:rsidP="00B409E0">
            <w:pPr>
              <w:jc w:val="both"/>
              <w:rPr>
                <w:rFonts w:ascii="Calibri" w:hAnsi="Calibri" w:cs="Calibri"/>
              </w:rPr>
            </w:pPr>
            <w:r>
              <w:rPr>
                <w:rFonts w:ascii="Calibri" w:hAnsi="Calibri"/>
              </w:rPr>
              <w:t>Článek 3, ECHR</w:t>
            </w:r>
          </w:p>
          <w:p w14:paraId="18D0C04E" w14:textId="77777777" w:rsidR="00DB52D0" w:rsidRDefault="00DB52D0" w:rsidP="00B409E0">
            <w:pPr>
              <w:jc w:val="both"/>
              <w:rPr>
                <w:rFonts w:ascii="Calibri" w:hAnsi="Calibri" w:cs="Calibri"/>
              </w:rPr>
            </w:pPr>
            <w:r>
              <w:rPr>
                <w:rFonts w:ascii="Calibri" w:hAnsi="Calibri"/>
              </w:rPr>
              <w:t>Článek 7, ICCPR</w:t>
            </w:r>
          </w:p>
          <w:p w14:paraId="1B6E3319" w14:textId="77777777" w:rsidR="00DB52D0" w:rsidRPr="00DB52D0" w:rsidRDefault="00DB52D0" w:rsidP="00B409E0">
            <w:pPr>
              <w:jc w:val="both"/>
              <w:rPr>
                <w:rFonts w:ascii="Calibri" w:hAnsi="Calibri" w:cs="Calibri"/>
              </w:rPr>
            </w:pPr>
            <w:r>
              <w:rPr>
                <w:rFonts w:ascii="Calibri" w:hAnsi="Calibri"/>
              </w:rPr>
              <w:t>Úmluva</w:t>
            </w:r>
            <w:r w:rsidR="00B409E0">
              <w:rPr>
                <w:rFonts w:ascii="Calibri" w:hAnsi="Calibri"/>
              </w:rPr>
              <w:t xml:space="preserve"> o </w:t>
            </w:r>
            <w:r>
              <w:rPr>
                <w:rFonts w:ascii="Calibri" w:hAnsi="Calibri"/>
              </w:rPr>
              <w:t xml:space="preserve">právním postavení uprchlíků </w:t>
            </w:r>
          </w:p>
          <w:p w14:paraId="6DAB19D9" w14:textId="77777777" w:rsidR="00CA5340" w:rsidRPr="00470C01" w:rsidRDefault="00CA5340" w:rsidP="00B409E0">
            <w:pPr>
              <w:jc w:val="both"/>
              <w:rPr>
                <w:rFonts w:ascii="Calibri" w:hAnsi="Calibri" w:cs="Calibri"/>
                <w:i/>
                <w:iCs/>
                <w:lang w:val="en-US"/>
              </w:rPr>
            </w:pPr>
          </w:p>
        </w:tc>
      </w:tr>
      <w:tr w:rsidR="00CA5340" w:rsidRPr="00470C01" w14:paraId="7FD6BAA7" w14:textId="77777777" w:rsidTr="00CA5340">
        <w:tc>
          <w:tcPr>
            <w:tcW w:w="8494" w:type="dxa"/>
          </w:tcPr>
          <w:p w14:paraId="508E581A" w14:textId="77777777" w:rsidR="00CA5340" w:rsidRPr="00470C01" w:rsidRDefault="00CA5340" w:rsidP="00B409E0">
            <w:pPr>
              <w:jc w:val="both"/>
              <w:rPr>
                <w:b/>
                <w:bCs/>
                <w:color w:val="000000" w:themeColor="text1"/>
              </w:rPr>
            </w:pPr>
            <w:r>
              <w:rPr>
                <w:b/>
                <w:color w:val="000000" w:themeColor="text1"/>
              </w:rPr>
              <w:t>Další zdroje</w:t>
            </w:r>
          </w:p>
        </w:tc>
      </w:tr>
      <w:tr w:rsidR="00CA5340" w:rsidRPr="00470C01" w14:paraId="427389F1" w14:textId="77777777" w:rsidTr="00CA5340">
        <w:tc>
          <w:tcPr>
            <w:tcW w:w="8494" w:type="dxa"/>
          </w:tcPr>
          <w:p w14:paraId="6BC3975F" w14:textId="77777777" w:rsidR="00CA5340" w:rsidRPr="00470C01" w:rsidRDefault="00CA5340" w:rsidP="00B409E0">
            <w:pPr>
              <w:jc w:val="both"/>
              <w:rPr>
                <w:i/>
                <w:iCs/>
                <w:color w:val="000000" w:themeColor="text1"/>
                <w:lang w:val="en-US"/>
              </w:rPr>
            </w:pPr>
          </w:p>
          <w:p w14:paraId="4992F758" w14:textId="77777777" w:rsidR="00470C01" w:rsidRPr="006B7CDF" w:rsidRDefault="00470C01" w:rsidP="00B409E0">
            <w:pPr>
              <w:pStyle w:val="Odstavecseseznamem"/>
              <w:numPr>
                <w:ilvl w:val="0"/>
                <w:numId w:val="10"/>
              </w:numPr>
              <w:jc w:val="both"/>
              <w:rPr>
                <w:i/>
                <w:iCs/>
                <w:color w:val="000000" w:themeColor="text1"/>
              </w:rPr>
            </w:pPr>
            <w:r>
              <w:rPr>
                <w:i/>
                <w:color w:val="000000" w:themeColor="text1"/>
              </w:rPr>
              <w:t xml:space="preserve">Daniel </w:t>
            </w:r>
            <w:proofErr w:type="spellStart"/>
            <w:r>
              <w:rPr>
                <w:i/>
                <w:color w:val="000000" w:themeColor="text1"/>
              </w:rPr>
              <w:t>Thym</w:t>
            </w:r>
            <w:proofErr w:type="spellEnd"/>
            <w:r>
              <w:rPr>
                <w:i/>
                <w:color w:val="000000" w:themeColor="text1"/>
              </w:rPr>
              <w:t xml:space="preserve"> – EU </w:t>
            </w:r>
            <w:proofErr w:type="spellStart"/>
            <w:r>
              <w:rPr>
                <w:i/>
                <w:color w:val="000000" w:themeColor="text1"/>
              </w:rPr>
              <w:t>Immigration</w:t>
            </w:r>
            <w:proofErr w:type="spellEnd"/>
            <w:r>
              <w:rPr>
                <w:i/>
                <w:color w:val="000000" w:themeColor="text1"/>
              </w:rPr>
              <w:t xml:space="preserve"> and </w:t>
            </w:r>
            <w:proofErr w:type="spellStart"/>
            <w:r>
              <w:rPr>
                <w:i/>
                <w:color w:val="000000" w:themeColor="text1"/>
              </w:rPr>
              <w:t>Asylum</w:t>
            </w:r>
            <w:proofErr w:type="spellEnd"/>
            <w:r>
              <w:rPr>
                <w:i/>
                <w:color w:val="000000" w:themeColor="text1"/>
              </w:rPr>
              <w:t xml:space="preserve"> </w:t>
            </w:r>
            <w:proofErr w:type="spellStart"/>
            <w:r>
              <w:rPr>
                <w:i/>
                <w:color w:val="000000" w:themeColor="text1"/>
              </w:rPr>
              <w:t>Law</w:t>
            </w:r>
            <w:proofErr w:type="spellEnd"/>
            <w:r>
              <w:rPr>
                <w:i/>
                <w:color w:val="000000" w:themeColor="text1"/>
              </w:rPr>
              <w:t xml:space="preserve"> (Unijní přistěhovalecké</w:t>
            </w:r>
            <w:r w:rsidR="00B409E0">
              <w:rPr>
                <w:i/>
                <w:color w:val="000000" w:themeColor="text1"/>
              </w:rPr>
              <w:t xml:space="preserve"> a </w:t>
            </w:r>
            <w:r>
              <w:rPr>
                <w:i/>
                <w:color w:val="000000" w:themeColor="text1"/>
              </w:rPr>
              <w:t>azylové právo)</w:t>
            </w:r>
          </w:p>
          <w:p w14:paraId="2627D119" w14:textId="77777777" w:rsidR="00470C01" w:rsidRPr="006B7CDF" w:rsidRDefault="00470C01" w:rsidP="00B409E0">
            <w:pPr>
              <w:pStyle w:val="Odstavecseseznamem"/>
              <w:numPr>
                <w:ilvl w:val="0"/>
                <w:numId w:val="10"/>
              </w:numPr>
              <w:jc w:val="both"/>
              <w:rPr>
                <w:i/>
                <w:iCs/>
                <w:color w:val="000000" w:themeColor="text1"/>
              </w:rPr>
            </w:pPr>
            <w:r>
              <w:rPr>
                <w:i/>
                <w:color w:val="000000" w:themeColor="text1"/>
              </w:rPr>
              <w:t xml:space="preserve">Victoria </w:t>
            </w:r>
            <w:proofErr w:type="spellStart"/>
            <w:r>
              <w:rPr>
                <w:i/>
                <w:color w:val="000000" w:themeColor="text1"/>
              </w:rPr>
              <w:t>Moreno-Lax</w:t>
            </w:r>
            <w:proofErr w:type="spellEnd"/>
            <w:r>
              <w:rPr>
                <w:i/>
                <w:color w:val="000000" w:themeColor="text1"/>
              </w:rPr>
              <w:t xml:space="preserve"> – </w:t>
            </w:r>
            <w:proofErr w:type="spellStart"/>
            <w:r>
              <w:rPr>
                <w:i/>
                <w:color w:val="000000" w:themeColor="text1"/>
              </w:rPr>
              <w:t>Accessing</w:t>
            </w:r>
            <w:proofErr w:type="spellEnd"/>
            <w:r>
              <w:rPr>
                <w:i/>
                <w:color w:val="000000" w:themeColor="text1"/>
              </w:rPr>
              <w:t xml:space="preserve"> </w:t>
            </w:r>
            <w:proofErr w:type="spellStart"/>
            <w:r>
              <w:rPr>
                <w:i/>
                <w:color w:val="000000" w:themeColor="text1"/>
              </w:rPr>
              <w:t>Asylum</w:t>
            </w:r>
            <w:proofErr w:type="spellEnd"/>
            <w:r>
              <w:rPr>
                <w:i/>
                <w:color w:val="000000" w:themeColor="text1"/>
              </w:rPr>
              <w:t xml:space="preserve"> in </w:t>
            </w:r>
            <w:proofErr w:type="spellStart"/>
            <w:r>
              <w:rPr>
                <w:i/>
                <w:color w:val="000000" w:themeColor="text1"/>
              </w:rPr>
              <w:t>Europe</w:t>
            </w:r>
            <w:proofErr w:type="spellEnd"/>
            <w:r>
              <w:rPr>
                <w:i/>
                <w:color w:val="000000" w:themeColor="text1"/>
              </w:rPr>
              <w:t xml:space="preserve">: </w:t>
            </w:r>
            <w:proofErr w:type="spellStart"/>
            <w:r>
              <w:rPr>
                <w:i/>
                <w:color w:val="000000" w:themeColor="text1"/>
              </w:rPr>
              <w:t>Extraterritorial</w:t>
            </w:r>
            <w:proofErr w:type="spellEnd"/>
            <w:r>
              <w:rPr>
                <w:i/>
                <w:color w:val="000000" w:themeColor="text1"/>
              </w:rPr>
              <w:t xml:space="preserve"> </w:t>
            </w:r>
            <w:proofErr w:type="spellStart"/>
            <w:r>
              <w:rPr>
                <w:i/>
                <w:color w:val="000000" w:themeColor="text1"/>
              </w:rPr>
              <w:t>Border</w:t>
            </w:r>
            <w:proofErr w:type="spellEnd"/>
            <w:r>
              <w:rPr>
                <w:i/>
                <w:color w:val="000000" w:themeColor="text1"/>
              </w:rPr>
              <w:t xml:space="preserve"> Controls and </w:t>
            </w:r>
            <w:proofErr w:type="spellStart"/>
            <w:r>
              <w:rPr>
                <w:i/>
                <w:color w:val="000000" w:themeColor="text1"/>
              </w:rPr>
              <w:t>Refugee</w:t>
            </w:r>
            <w:proofErr w:type="spellEnd"/>
            <w:r>
              <w:rPr>
                <w:i/>
                <w:color w:val="000000" w:themeColor="text1"/>
              </w:rPr>
              <w:t xml:space="preserve"> </w:t>
            </w:r>
            <w:proofErr w:type="spellStart"/>
            <w:r>
              <w:rPr>
                <w:i/>
                <w:color w:val="000000" w:themeColor="text1"/>
              </w:rPr>
              <w:t>Rights</w:t>
            </w:r>
            <w:proofErr w:type="spellEnd"/>
            <w:r>
              <w:rPr>
                <w:i/>
                <w:color w:val="000000" w:themeColor="text1"/>
              </w:rPr>
              <w:t xml:space="preserve"> </w:t>
            </w:r>
            <w:proofErr w:type="spellStart"/>
            <w:r>
              <w:rPr>
                <w:i/>
                <w:color w:val="000000" w:themeColor="text1"/>
              </w:rPr>
              <w:t>under</w:t>
            </w:r>
            <w:proofErr w:type="spellEnd"/>
            <w:r>
              <w:rPr>
                <w:i/>
                <w:color w:val="000000" w:themeColor="text1"/>
              </w:rPr>
              <w:t xml:space="preserve"> EU </w:t>
            </w:r>
            <w:proofErr w:type="spellStart"/>
            <w:r>
              <w:rPr>
                <w:i/>
                <w:color w:val="000000" w:themeColor="text1"/>
              </w:rPr>
              <w:t>Law</w:t>
            </w:r>
            <w:proofErr w:type="spellEnd"/>
            <w:r>
              <w:rPr>
                <w:i/>
                <w:color w:val="000000" w:themeColor="text1"/>
              </w:rPr>
              <w:t xml:space="preserve"> (Přístup</w:t>
            </w:r>
            <w:r w:rsidR="00B409E0">
              <w:rPr>
                <w:i/>
                <w:color w:val="000000" w:themeColor="text1"/>
              </w:rPr>
              <w:t xml:space="preserve"> k </w:t>
            </w:r>
            <w:r>
              <w:rPr>
                <w:i/>
                <w:color w:val="000000" w:themeColor="text1"/>
              </w:rPr>
              <w:t>azylu</w:t>
            </w:r>
            <w:r w:rsidR="00B409E0">
              <w:rPr>
                <w:i/>
                <w:color w:val="000000" w:themeColor="text1"/>
              </w:rPr>
              <w:t xml:space="preserve"> v </w:t>
            </w:r>
            <w:r>
              <w:rPr>
                <w:i/>
                <w:color w:val="000000" w:themeColor="text1"/>
              </w:rPr>
              <w:t xml:space="preserve">Evropě: </w:t>
            </w:r>
            <w:proofErr w:type="spellStart"/>
            <w:r>
              <w:rPr>
                <w:i/>
                <w:color w:val="000000" w:themeColor="text1"/>
              </w:rPr>
              <w:t>extrateritoriální</w:t>
            </w:r>
            <w:proofErr w:type="spellEnd"/>
            <w:r>
              <w:rPr>
                <w:i/>
                <w:color w:val="000000" w:themeColor="text1"/>
              </w:rPr>
              <w:t xml:space="preserve"> hraniční kontroly</w:t>
            </w:r>
            <w:r w:rsidR="00B409E0">
              <w:rPr>
                <w:i/>
                <w:color w:val="000000" w:themeColor="text1"/>
              </w:rPr>
              <w:t xml:space="preserve"> a </w:t>
            </w:r>
            <w:r>
              <w:rPr>
                <w:i/>
                <w:color w:val="000000" w:themeColor="text1"/>
              </w:rPr>
              <w:t>uprchlické právo podle unijního práva)</w:t>
            </w:r>
          </w:p>
          <w:p w14:paraId="608D75A9" w14:textId="77777777" w:rsidR="006B7CDF" w:rsidRDefault="006B7CDF" w:rsidP="00B409E0">
            <w:pPr>
              <w:pStyle w:val="Odstavecseseznamem"/>
              <w:numPr>
                <w:ilvl w:val="0"/>
                <w:numId w:val="10"/>
              </w:numPr>
              <w:jc w:val="both"/>
              <w:rPr>
                <w:i/>
                <w:iCs/>
                <w:color w:val="000000" w:themeColor="text1"/>
              </w:rPr>
            </w:pPr>
            <w:r>
              <w:rPr>
                <w:i/>
                <w:color w:val="000000" w:themeColor="text1"/>
              </w:rPr>
              <w:t xml:space="preserve">Laura </w:t>
            </w:r>
            <w:proofErr w:type="spellStart"/>
            <w:r>
              <w:rPr>
                <w:i/>
                <w:color w:val="000000" w:themeColor="text1"/>
              </w:rPr>
              <w:t>Westra</w:t>
            </w:r>
            <w:proofErr w:type="spellEnd"/>
            <w:r>
              <w:rPr>
                <w:i/>
                <w:color w:val="000000" w:themeColor="text1"/>
              </w:rPr>
              <w:t xml:space="preserve">, </w:t>
            </w:r>
            <w:proofErr w:type="spellStart"/>
            <w:r>
              <w:rPr>
                <w:i/>
                <w:color w:val="000000" w:themeColor="text1"/>
              </w:rPr>
              <w:t>Satvinder</w:t>
            </w:r>
            <w:proofErr w:type="spellEnd"/>
            <w:r>
              <w:rPr>
                <w:i/>
                <w:color w:val="000000" w:themeColor="text1"/>
              </w:rPr>
              <w:t xml:space="preserve"> </w:t>
            </w:r>
            <w:proofErr w:type="spellStart"/>
            <w:r>
              <w:rPr>
                <w:i/>
                <w:color w:val="000000" w:themeColor="text1"/>
              </w:rPr>
              <w:t>Juss</w:t>
            </w:r>
            <w:proofErr w:type="spellEnd"/>
            <w:r>
              <w:rPr>
                <w:i/>
                <w:color w:val="000000" w:themeColor="text1"/>
              </w:rPr>
              <w:t xml:space="preserve"> – </w:t>
            </w:r>
            <w:proofErr w:type="spellStart"/>
            <w:r>
              <w:rPr>
                <w:i/>
                <w:color w:val="000000" w:themeColor="text1"/>
              </w:rPr>
              <w:t>Towards</w:t>
            </w:r>
            <w:proofErr w:type="spellEnd"/>
            <w:r w:rsidR="00B409E0">
              <w:rPr>
                <w:i/>
                <w:color w:val="000000" w:themeColor="text1"/>
              </w:rPr>
              <w:t xml:space="preserve"> a </w:t>
            </w:r>
            <w:proofErr w:type="spellStart"/>
            <w:r>
              <w:rPr>
                <w:i/>
                <w:color w:val="000000" w:themeColor="text1"/>
              </w:rPr>
              <w:t>Refugee</w:t>
            </w:r>
            <w:proofErr w:type="spellEnd"/>
            <w:r>
              <w:rPr>
                <w:i/>
                <w:color w:val="000000" w:themeColor="text1"/>
              </w:rPr>
              <w:t xml:space="preserve"> </w:t>
            </w:r>
            <w:proofErr w:type="spellStart"/>
            <w:r>
              <w:rPr>
                <w:i/>
                <w:color w:val="000000" w:themeColor="text1"/>
              </w:rPr>
              <w:t>Oriented</w:t>
            </w:r>
            <w:proofErr w:type="spellEnd"/>
            <w:r>
              <w:rPr>
                <w:i/>
                <w:color w:val="000000" w:themeColor="text1"/>
              </w:rPr>
              <w:t xml:space="preserve"> </w:t>
            </w:r>
            <w:proofErr w:type="spellStart"/>
            <w:r>
              <w:rPr>
                <w:i/>
                <w:color w:val="000000" w:themeColor="text1"/>
              </w:rPr>
              <w:t>Right</w:t>
            </w:r>
            <w:proofErr w:type="spellEnd"/>
            <w:r>
              <w:rPr>
                <w:i/>
                <w:color w:val="000000" w:themeColor="text1"/>
              </w:rPr>
              <w:t xml:space="preserve"> </w:t>
            </w:r>
            <w:proofErr w:type="spellStart"/>
            <w:r>
              <w:rPr>
                <w:i/>
                <w:color w:val="000000" w:themeColor="text1"/>
              </w:rPr>
              <w:t>of</w:t>
            </w:r>
            <w:proofErr w:type="spellEnd"/>
            <w:r>
              <w:rPr>
                <w:i/>
                <w:color w:val="000000" w:themeColor="text1"/>
              </w:rPr>
              <w:t xml:space="preserve"> </w:t>
            </w:r>
            <w:proofErr w:type="spellStart"/>
            <w:r>
              <w:rPr>
                <w:i/>
                <w:color w:val="000000" w:themeColor="text1"/>
              </w:rPr>
              <w:t>Asylum</w:t>
            </w:r>
            <w:proofErr w:type="spellEnd"/>
            <w:r>
              <w:rPr>
                <w:i/>
                <w:color w:val="000000" w:themeColor="text1"/>
              </w:rPr>
              <w:t xml:space="preserve"> (Právo azylu zaměřené na uprchlíky)</w:t>
            </w:r>
          </w:p>
          <w:p w14:paraId="2DE7BC79" w14:textId="77777777" w:rsidR="009C3AFE" w:rsidRDefault="009C3AFE" w:rsidP="00B409E0">
            <w:pPr>
              <w:pStyle w:val="Odstavecseseznamem"/>
              <w:numPr>
                <w:ilvl w:val="0"/>
                <w:numId w:val="10"/>
              </w:numPr>
              <w:jc w:val="both"/>
              <w:rPr>
                <w:i/>
                <w:iCs/>
                <w:color w:val="000000" w:themeColor="text1"/>
              </w:rPr>
            </w:pPr>
            <w:proofErr w:type="spellStart"/>
            <w:r>
              <w:rPr>
                <w:i/>
                <w:color w:val="000000" w:themeColor="text1"/>
              </w:rPr>
              <w:t>Cathryn</w:t>
            </w:r>
            <w:proofErr w:type="spellEnd"/>
            <w:r>
              <w:rPr>
                <w:i/>
                <w:color w:val="000000" w:themeColor="text1"/>
              </w:rPr>
              <w:t xml:space="preserve"> </w:t>
            </w:r>
            <w:proofErr w:type="spellStart"/>
            <w:r>
              <w:rPr>
                <w:i/>
                <w:color w:val="000000" w:themeColor="text1"/>
              </w:rPr>
              <w:t>Costello</w:t>
            </w:r>
            <w:proofErr w:type="spellEnd"/>
            <w:r>
              <w:rPr>
                <w:i/>
                <w:color w:val="000000" w:themeColor="text1"/>
              </w:rPr>
              <w:t xml:space="preserve"> – </w:t>
            </w:r>
            <w:proofErr w:type="spellStart"/>
            <w:r>
              <w:rPr>
                <w:i/>
                <w:color w:val="000000" w:themeColor="text1"/>
              </w:rPr>
              <w:t>The</w:t>
            </w:r>
            <w:proofErr w:type="spellEnd"/>
            <w:r>
              <w:rPr>
                <w:i/>
                <w:color w:val="000000" w:themeColor="text1"/>
              </w:rPr>
              <w:t xml:space="preserve"> </w:t>
            </w:r>
            <w:proofErr w:type="spellStart"/>
            <w:r>
              <w:rPr>
                <w:i/>
                <w:color w:val="000000" w:themeColor="text1"/>
              </w:rPr>
              <w:t>Human</w:t>
            </w:r>
            <w:proofErr w:type="spellEnd"/>
            <w:r>
              <w:rPr>
                <w:i/>
                <w:color w:val="000000" w:themeColor="text1"/>
              </w:rPr>
              <w:t xml:space="preserve"> </w:t>
            </w:r>
            <w:proofErr w:type="spellStart"/>
            <w:r>
              <w:rPr>
                <w:i/>
                <w:color w:val="000000" w:themeColor="text1"/>
              </w:rPr>
              <w:t>Rights</w:t>
            </w:r>
            <w:proofErr w:type="spellEnd"/>
            <w:r>
              <w:rPr>
                <w:i/>
                <w:color w:val="000000" w:themeColor="text1"/>
              </w:rPr>
              <w:t xml:space="preserve"> </w:t>
            </w:r>
            <w:proofErr w:type="spellStart"/>
            <w:r>
              <w:rPr>
                <w:i/>
                <w:color w:val="000000" w:themeColor="text1"/>
              </w:rPr>
              <w:t>of</w:t>
            </w:r>
            <w:proofErr w:type="spellEnd"/>
            <w:r>
              <w:rPr>
                <w:i/>
                <w:color w:val="000000" w:themeColor="text1"/>
              </w:rPr>
              <w:t xml:space="preserve"> </w:t>
            </w:r>
            <w:proofErr w:type="spellStart"/>
            <w:r>
              <w:rPr>
                <w:i/>
                <w:color w:val="000000" w:themeColor="text1"/>
              </w:rPr>
              <w:t>Migrants</w:t>
            </w:r>
            <w:proofErr w:type="spellEnd"/>
            <w:r>
              <w:rPr>
                <w:i/>
                <w:color w:val="000000" w:themeColor="text1"/>
              </w:rPr>
              <w:t xml:space="preserve"> and </w:t>
            </w:r>
            <w:proofErr w:type="spellStart"/>
            <w:r>
              <w:rPr>
                <w:i/>
                <w:color w:val="000000" w:themeColor="text1"/>
              </w:rPr>
              <w:t>Refugees</w:t>
            </w:r>
            <w:proofErr w:type="spellEnd"/>
            <w:r>
              <w:rPr>
                <w:i/>
                <w:color w:val="000000" w:themeColor="text1"/>
              </w:rPr>
              <w:t xml:space="preserve"> in </w:t>
            </w:r>
            <w:proofErr w:type="spellStart"/>
            <w:r>
              <w:rPr>
                <w:i/>
                <w:color w:val="000000" w:themeColor="text1"/>
              </w:rPr>
              <w:t>European</w:t>
            </w:r>
            <w:proofErr w:type="spellEnd"/>
            <w:r>
              <w:rPr>
                <w:i/>
                <w:color w:val="000000" w:themeColor="text1"/>
              </w:rPr>
              <w:t xml:space="preserve"> </w:t>
            </w:r>
            <w:proofErr w:type="spellStart"/>
            <w:r>
              <w:rPr>
                <w:i/>
                <w:color w:val="000000" w:themeColor="text1"/>
              </w:rPr>
              <w:t>Law</w:t>
            </w:r>
            <w:proofErr w:type="spellEnd"/>
            <w:r>
              <w:rPr>
                <w:i/>
                <w:color w:val="000000" w:themeColor="text1"/>
              </w:rPr>
              <w:t xml:space="preserve"> (Lidská práva migrantů</w:t>
            </w:r>
            <w:r w:rsidR="00B409E0">
              <w:rPr>
                <w:i/>
                <w:color w:val="000000" w:themeColor="text1"/>
              </w:rPr>
              <w:t xml:space="preserve"> a </w:t>
            </w:r>
            <w:r>
              <w:rPr>
                <w:i/>
                <w:color w:val="000000" w:themeColor="text1"/>
              </w:rPr>
              <w:t>uprchlíků</w:t>
            </w:r>
            <w:r w:rsidR="00B409E0">
              <w:rPr>
                <w:i/>
                <w:color w:val="000000" w:themeColor="text1"/>
              </w:rPr>
              <w:t xml:space="preserve"> v </w:t>
            </w:r>
            <w:r>
              <w:rPr>
                <w:i/>
                <w:color w:val="000000" w:themeColor="text1"/>
              </w:rPr>
              <w:t>evropském právu)</w:t>
            </w:r>
          </w:p>
          <w:p w14:paraId="2E362CE6" w14:textId="77777777" w:rsidR="00470C01" w:rsidRPr="00470C01" w:rsidRDefault="00470C01" w:rsidP="00B409E0">
            <w:pPr>
              <w:jc w:val="both"/>
              <w:rPr>
                <w:i/>
                <w:iCs/>
                <w:color w:val="000000" w:themeColor="text1"/>
                <w:lang w:val="en-US"/>
              </w:rPr>
            </w:pPr>
          </w:p>
          <w:p w14:paraId="19EA094D" w14:textId="77777777" w:rsidR="00CA5340" w:rsidRPr="00470C01" w:rsidRDefault="00CA5340" w:rsidP="00727AFE">
            <w:pPr>
              <w:jc w:val="both"/>
              <w:rPr>
                <w:i/>
                <w:iCs/>
                <w:color w:val="000000" w:themeColor="text1"/>
                <w:lang w:val="en-US"/>
              </w:rPr>
            </w:pPr>
          </w:p>
        </w:tc>
      </w:tr>
    </w:tbl>
    <w:p w14:paraId="657FBA84" w14:textId="77777777" w:rsidR="00846D63" w:rsidRPr="00470C01" w:rsidRDefault="00846D63">
      <w:pPr>
        <w:rPr>
          <w:rFonts w:ascii="Calibri" w:hAnsi="Calibri" w:cs="Calibri"/>
          <w:sz w:val="22"/>
          <w:szCs w:val="22"/>
          <w:lang w:val="en-US"/>
        </w:rPr>
      </w:pPr>
    </w:p>
    <w:sectPr w:rsidR="00846D63" w:rsidRPr="00470C01" w:rsidSect="00022A58">
      <w:pgSz w:w="11906" w:h="16838"/>
      <w:pgMar w:top="1417" w:right="1701" w:bottom="1040"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DD6081"/>
    <w:multiLevelType w:val="hybridMultilevel"/>
    <w:tmpl w:val="484ABC7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 w15:restartNumberingAfterBreak="0">
    <w:nsid w:val="34490CD0"/>
    <w:multiLevelType w:val="hybridMultilevel"/>
    <w:tmpl w:val="B442D25C"/>
    <w:lvl w:ilvl="0" w:tplc="D3948ECA">
      <w:start w:val="1"/>
      <w:numFmt w:val="upperLetter"/>
      <w:lvlText w:val="%1."/>
      <w:lvlJc w:val="left"/>
      <w:pPr>
        <w:ind w:left="720" w:hanging="360"/>
      </w:pPr>
      <w:rPr>
        <w:rFonts w:ascii="Calibri" w:eastAsia="Times New Roman" w:hAnsi="Calibri" w:cs="Calibri"/>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3C6826F3"/>
    <w:multiLevelType w:val="hybridMultilevel"/>
    <w:tmpl w:val="37D411A2"/>
    <w:lvl w:ilvl="0" w:tplc="51C6B2BA">
      <w:start w:val="29"/>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464C050C"/>
    <w:multiLevelType w:val="hybridMultilevel"/>
    <w:tmpl w:val="51742546"/>
    <w:lvl w:ilvl="0" w:tplc="C1102D0A">
      <w:start w:val="22"/>
      <w:numFmt w:val="bullet"/>
      <w:lvlText w:val="-"/>
      <w:lvlJc w:val="left"/>
      <w:pPr>
        <w:ind w:left="720" w:hanging="360"/>
      </w:pPr>
      <w:rPr>
        <w:rFonts w:ascii="Calibri" w:eastAsiaTheme="minorHAnsi" w:hAnsi="Calibri" w:cs="Calibri" w:hint="default"/>
        <w:i/>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508B33AF"/>
    <w:multiLevelType w:val="hybridMultilevel"/>
    <w:tmpl w:val="4FE2FF08"/>
    <w:lvl w:ilvl="0" w:tplc="DFCAE628">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56DF0256"/>
    <w:multiLevelType w:val="hybridMultilevel"/>
    <w:tmpl w:val="44BC6A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59CA6CF9"/>
    <w:multiLevelType w:val="hybridMultilevel"/>
    <w:tmpl w:val="1B78140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7" w15:restartNumberingAfterBreak="0">
    <w:nsid w:val="5F366E07"/>
    <w:multiLevelType w:val="hybridMultilevel"/>
    <w:tmpl w:val="86E0E88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8" w15:restartNumberingAfterBreak="0">
    <w:nsid w:val="6607721C"/>
    <w:multiLevelType w:val="hybridMultilevel"/>
    <w:tmpl w:val="F2FC46E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9" w15:restartNumberingAfterBreak="0">
    <w:nsid w:val="738D3D2D"/>
    <w:multiLevelType w:val="multilevel"/>
    <w:tmpl w:val="473C3D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077895048">
    <w:abstractNumId w:val="6"/>
  </w:num>
  <w:num w:numId="2" w16cid:durableId="2042972301">
    <w:abstractNumId w:val="7"/>
  </w:num>
  <w:num w:numId="3" w16cid:durableId="1275864877">
    <w:abstractNumId w:val="0"/>
  </w:num>
  <w:num w:numId="4" w16cid:durableId="1002050582">
    <w:abstractNumId w:val="3"/>
  </w:num>
  <w:num w:numId="5" w16cid:durableId="711924108">
    <w:abstractNumId w:val="2"/>
  </w:num>
  <w:num w:numId="6" w16cid:durableId="535386099">
    <w:abstractNumId w:val="1"/>
  </w:num>
  <w:num w:numId="7" w16cid:durableId="336157267">
    <w:abstractNumId w:val="8"/>
  </w:num>
  <w:num w:numId="8" w16cid:durableId="494419170">
    <w:abstractNumId w:val="9"/>
  </w:num>
  <w:num w:numId="9" w16cid:durableId="52429692">
    <w:abstractNumId w:val="4"/>
  </w:num>
  <w:num w:numId="10" w16cid:durableId="76600420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7453B"/>
    <w:rsid w:val="00022A58"/>
    <w:rsid w:val="00032E76"/>
    <w:rsid w:val="00071D94"/>
    <w:rsid w:val="000828C0"/>
    <w:rsid w:val="000D4C77"/>
    <w:rsid w:val="000D7693"/>
    <w:rsid w:val="0012120D"/>
    <w:rsid w:val="00185ED2"/>
    <w:rsid w:val="001B1D88"/>
    <w:rsid w:val="002653D9"/>
    <w:rsid w:val="002B7859"/>
    <w:rsid w:val="0036778B"/>
    <w:rsid w:val="00390CC1"/>
    <w:rsid w:val="003A44C8"/>
    <w:rsid w:val="003A537F"/>
    <w:rsid w:val="003E5231"/>
    <w:rsid w:val="003F27A0"/>
    <w:rsid w:val="00425796"/>
    <w:rsid w:val="00470C01"/>
    <w:rsid w:val="004B653B"/>
    <w:rsid w:val="00530078"/>
    <w:rsid w:val="00602781"/>
    <w:rsid w:val="006726BC"/>
    <w:rsid w:val="0067453B"/>
    <w:rsid w:val="006B7CDF"/>
    <w:rsid w:val="006C502E"/>
    <w:rsid w:val="007132D0"/>
    <w:rsid w:val="00727AFE"/>
    <w:rsid w:val="00730ACA"/>
    <w:rsid w:val="007338DC"/>
    <w:rsid w:val="007B4007"/>
    <w:rsid w:val="00846D63"/>
    <w:rsid w:val="008B093F"/>
    <w:rsid w:val="008D6F2C"/>
    <w:rsid w:val="00953541"/>
    <w:rsid w:val="0096528F"/>
    <w:rsid w:val="0099308C"/>
    <w:rsid w:val="009C3AFE"/>
    <w:rsid w:val="009D7312"/>
    <w:rsid w:val="009F4327"/>
    <w:rsid w:val="00A24803"/>
    <w:rsid w:val="00A46D88"/>
    <w:rsid w:val="00A83505"/>
    <w:rsid w:val="00B409E0"/>
    <w:rsid w:val="00B436EB"/>
    <w:rsid w:val="00B640B4"/>
    <w:rsid w:val="00BC3B00"/>
    <w:rsid w:val="00C47234"/>
    <w:rsid w:val="00CA5340"/>
    <w:rsid w:val="00D92AAA"/>
    <w:rsid w:val="00D970D7"/>
    <w:rsid w:val="00DB52D0"/>
    <w:rsid w:val="00DC551B"/>
    <w:rsid w:val="00E3372A"/>
    <w:rsid w:val="00E80944"/>
    <w:rsid w:val="00F31726"/>
    <w:rsid w:val="00FE53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40D2347C"/>
  <w15:docId w15:val="{5E032958-E77B-4047-BE91-271C793069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96528F"/>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67453B"/>
    <w:pPr>
      <w:spacing w:before="100" w:beforeAutospacing="1" w:after="100" w:afterAutospacing="1"/>
    </w:pPr>
    <w:rPr>
      <w:rFonts w:ascii="Times New Roman" w:eastAsia="Times New Roman" w:hAnsi="Times New Roman" w:cs="Times New Roman"/>
      <w:kern w:val="0"/>
      <w:lang w:eastAsia="es-ES_tradnl"/>
    </w:rPr>
  </w:style>
  <w:style w:type="table" w:styleId="Mkatabulky">
    <w:name w:val="Table Grid"/>
    <w:basedOn w:val="Normlntabulka"/>
    <w:uiPriority w:val="39"/>
    <w:rsid w:val="00B43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6C502E"/>
    <w:pPr>
      <w:ind w:left="720"/>
      <w:contextualSpacing/>
    </w:pPr>
  </w:style>
  <w:style w:type="character" w:customStyle="1" w:styleId="ui-provider">
    <w:name w:val="ui-provider"/>
    <w:basedOn w:val="Standardnpsmoodstavce"/>
    <w:rsid w:val="001B1D88"/>
  </w:style>
  <w:style w:type="character" w:styleId="Hypertextovodkaz">
    <w:name w:val="Hyperlink"/>
    <w:basedOn w:val="Standardnpsmoodstavce"/>
    <w:uiPriority w:val="99"/>
    <w:unhideWhenUsed/>
    <w:rsid w:val="001B1D88"/>
    <w:rPr>
      <w:color w:val="0000FF"/>
      <w:u w:val="single"/>
    </w:rPr>
  </w:style>
  <w:style w:type="character" w:customStyle="1" w:styleId="Nevyeenzmnka1">
    <w:name w:val="Nevyřešená zmínka1"/>
    <w:basedOn w:val="Standardnpsmoodstavce"/>
    <w:uiPriority w:val="99"/>
    <w:semiHidden/>
    <w:unhideWhenUsed/>
    <w:rsid w:val="00F31726"/>
    <w:rPr>
      <w:color w:val="605E5C"/>
      <w:shd w:val="clear" w:color="auto" w:fill="E1DFDD"/>
    </w:rPr>
  </w:style>
  <w:style w:type="character" w:styleId="Sledovanodkaz">
    <w:name w:val="FollowedHyperlink"/>
    <w:basedOn w:val="Standardnpsmoodstavce"/>
    <w:uiPriority w:val="99"/>
    <w:semiHidden/>
    <w:unhideWhenUsed/>
    <w:rsid w:val="00F31726"/>
    <w:rPr>
      <w:color w:val="954F72" w:themeColor="followedHyperlink"/>
      <w:u w:val="single"/>
    </w:rPr>
  </w:style>
  <w:style w:type="character" w:styleId="Zdraznn">
    <w:name w:val="Emphasis"/>
    <w:basedOn w:val="Standardnpsmoodstavce"/>
    <w:uiPriority w:val="20"/>
    <w:qFormat/>
    <w:rsid w:val="00470C01"/>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148726">
      <w:bodyDiv w:val="1"/>
      <w:marLeft w:val="0"/>
      <w:marRight w:val="0"/>
      <w:marTop w:val="0"/>
      <w:marBottom w:val="0"/>
      <w:divBdr>
        <w:top w:val="none" w:sz="0" w:space="0" w:color="auto"/>
        <w:left w:val="none" w:sz="0" w:space="0" w:color="auto"/>
        <w:bottom w:val="none" w:sz="0" w:space="0" w:color="auto"/>
        <w:right w:val="none" w:sz="0" w:space="0" w:color="auto"/>
      </w:divBdr>
      <w:divsChild>
        <w:div w:id="1098135453">
          <w:marLeft w:val="0"/>
          <w:marRight w:val="0"/>
          <w:marTop w:val="0"/>
          <w:marBottom w:val="0"/>
          <w:divBdr>
            <w:top w:val="none" w:sz="0" w:space="0" w:color="auto"/>
            <w:left w:val="none" w:sz="0" w:space="0" w:color="auto"/>
            <w:bottom w:val="none" w:sz="0" w:space="0" w:color="auto"/>
            <w:right w:val="none" w:sz="0" w:space="0" w:color="auto"/>
          </w:divBdr>
          <w:divsChild>
            <w:div w:id="520364442">
              <w:marLeft w:val="0"/>
              <w:marRight w:val="0"/>
              <w:marTop w:val="0"/>
              <w:marBottom w:val="0"/>
              <w:divBdr>
                <w:top w:val="none" w:sz="0" w:space="0" w:color="auto"/>
                <w:left w:val="none" w:sz="0" w:space="0" w:color="auto"/>
                <w:bottom w:val="none" w:sz="0" w:space="0" w:color="auto"/>
                <w:right w:val="none" w:sz="0" w:space="0" w:color="auto"/>
              </w:divBdr>
              <w:divsChild>
                <w:div w:id="1582450892">
                  <w:marLeft w:val="0"/>
                  <w:marRight w:val="0"/>
                  <w:marTop w:val="0"/>
                  <w:marBottom w:val="0"/>
                  <w:divBdr>
                    <w:top w:val="none" w:sz="0" w:space="0" w:color="auto"/>
                    <w:left w:val="none" w:sz="0" w:space="0" w:color="auto"/>
                    <w:bottom w:val="none" w:sz="0" w:space="0" w:color="auto"/>
                    <w:right w:val="none" w:sz="0" w:space="0" w:color="auto"/>
                  </w:divBdr>
                </w:div>
                <w:div w:id="1494688417">
                  <w:marLeft w:val="0"/>
                  <w:marRight w:val="0"/>
                  <w:marTop w:val="0"/>
                  <w:marBottom w:val="0"/>
                  <w:divBdr>
                    <w:top w:val="none" w:sz="0" w:space="0" w:color="auto"/>
                    <w:left w:val="none" w:sz="0" w:space="0" w:color="auto"/>
                    <w:bottom w:val="none" w:sz="0" w:space="0" w:color="auto"/>
                    <w:right w:val="none" w:sz="0" w:space="0" w:color="auto"/>
                  </w:divBdr>
                </w:div>
              </w:divsChild>
            </w:div>
            <w:div w:id="1804808737">
              <w:marLeft w:val="0"/>
              <w:marRight w:val="0"/>
              <w:marTop w:val="0"/>
              <w:marBottom w:val="0"/>
              <w:divBdr>
                <w:top w:val="none" w:sz="0" w:space="0" w:color="auto"/>
                <w:left w:val="none" w:sz="0" w:space="0" w:color="auto"/>
                <w:bottom w:val="none" w:sz="0" w:space="0" w:color="auto"/>
                <w:right w:val="none" w:sz="0" w:space="0" w:color="auto"/>
              </w:divBdr>
              <w:divsChild>
                <w:div w:id="78905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7162677">
      <w:bodyDiv w:val="1"/>
      <w:marLeft w:val="0"/>
      <w:marRight w:val="0"/>
      <w:marTop w:val="0"/>
      <w:marBottom w:val="0"/>
      <w:divBdr>
        <w:top w:val="none" w:sz="0" w:space="0" w:color="auto"/>
        <w:left w:val="none" w:sz="0" w:space="0" w:color="auto"/>
        <w:bottom w:val="none" w:sz="0" w:space="0" w:color="auto"/>
        <w:right w:val="none" w:sz="0" w:space="0" w:color="auto"/>
      </w:divBdr>
      <w:divsChild>
        <w:div w:id="1186358526">
          <w:marLeft w:val="0"/>
          <w:marRight w:val="0"/>
          <w:marTop w:val="0"/>
          <w:marBottom w:val="0"/>
          <w:divBdr>
            <w:top w:val="none" w:sz="0" w:space="0" w:color="auto"/>
            <w:left w:val="none" w:sz="0" w:space="0" w:color="auto"/>
            <w:bottom w:val="none" w:sz="0" w:space="0" w:color="auto"/>
            <w:right w:val="none" w:sz="0" w:space="0" w:color="auto"/>
          </w:divBdr>
          <w:divsChild>
            <w:div w:id="139080624">
              <w:marLeft w:val="0"/>
              <w:marRight w:val="0"/>
              <w:marTop w:val="0"/>
              <w:marBottom w:val="0"/>
              <w:divBdr>
                <w:top w:val="none" w:sz="0" w:space="0" w:color="auto"/>
                <w:left w:val="none" w:sz="0" w:space="0" w:color="auto"/>
                <w:bottom w:val="none" w:sz="0" w:space="0" w:color="auto"/>
                <w:right w:val="none" w:sz="0" w:space="0" w:color="auto"/>
              </w:divBdr>
              <w:divsChild>
                <w:div w:id="298926485">
                  <w:marLeft w:val="0"/>
                  <w:marRight w:val="0"/>
                  <w:marTop w:val="0"/>
                  <w:marBottom w:val="0"/>
                  <w:divBdr>
                    <w:top w:val="none" w:sz="0" w:space="0" w:color="auto"/>
                    <w:left w:val="none" w:sz="0" w:space="0" w:color="auto"/>
                    <w:bottom w:val="none" w:sz="0" w:space="0" w:color="auto"/>
                    <w:right w:val="none" w:sz="0" w:space="0" w:color="auto"/>
                  </w:divBdr>
                </w:div>
              </w:divsChild>
            </w:div>
            <w:div w:id="19405824">
              <w:marLeft w:val="0"/>
              <w:marRight w:val="0"/>
              <w:marTop w:val="0"/>
              <w:marBottom w:val="0"/>
              <w:divBdr>
                <w:top w:val="none" w:sz="0" w:space="0" w:color="auto"/>
                <w:left w:val="none" w:sz="0" w:space="0" w:color="auto"/>
                <w:bottom w:val="none" w:sz="0" w:space="0" w:color="auto"/>
                <w:right w:val="none" w:sz="0" w:space="0" w:color="auto"/>
              </w:divBdr>
              <w:divsChild>
                <w:div w:id="212962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146388">
      <w:bodyDiv w:val="1"/>
      <w:marLeft w:val="0"/>
      <w:marRight w:val="0"/>
      <w:marTop w:val="0"/>
      <w:marBottom w:val="0"/>
      <w:divBdr>
        <w:top w:val="none" w:sz="0" w:space="0" w:color="auto"/>
        <w:left w:val="none" w:sz="0" w:space="0" w:color="auto"/>
        <w:bottom w:val="none" w:sz="0" w:space="0" w:color="auto"/>
        <w:right w:val="none" w:sz="0" w:space="0" w:color="auto"/>
      </w:divBdr>
    </w:div>
    <w:div w:id="940726277">
      <w:bodyDiv w:val="1"/>
      <w:marLeft w:val="0"/>
      <w:marRight w:val="0"/>
      <w:marTop w:val="0"/>
      <w:marBottom w:val="0"/>
      <w:divBdr>
        <w:top w:val="none" w:sz="0" w:space="0" w:color="auto"/>
        <w:left w:val="none" w:sz="0" w:space="0" w:color="auto"/>
        <w:bottom w:val="none" w:sz="0" w:space="0" w:color="auto"/>
        <w:right w:val="none" w:sz="0" w:space="0" w:color="auto"/>
      </w:divBdr>
    </w:div>
    <w:div w:id="1055661389">
      <w:bodyDiv w:val="1"/>
      <w:marLeft w:val="0"/>
      <w:marRight w:val="0"/>
      <w:marTop w:val="0"/>
      <w:marBottom w:val="0"/>
      <w:divBdr>
        <w:top w:val="none" w:sz="0" w:space="0" w:color="auto"/>
        <w:left w:val="none" w:sz="0" w:space="0" w:color="auto"/>
        <w:bottom w:val="none" w:sz="0" w:space="0" w:color="auto"/>
        <w:right w:val="none" w:sz="0" w:space="0" w:color="auto"/>
      </w:divBdr>
    </w:div>
    <w:div w:id="1071855627">
      <w:bodyDiv w:val="1"/>
      <w:marLeft w:val="0"/>
      <w:marRight w:val="0"/>
      <w:marTop w:val="0"/>
      <w:marBottom w:val="0"/>
      <w:divBdr>
        <w:top w:val="none" w:sz="0" w:space="0" w:color="auto"/>
        <w:left w:val="none" w:sz="0" w:space="0" w:color="auto"/>
        <w:bottom w:val="none" w:sz="0" w:space="0" w:color="auto"/>
        <w:right w:val="none" w:sz="0" w:space="0" w:color="auto"/>
      </w:divBdr>
    </w:div>
    <w:div w:id="1817143236">
      <w:bodyDiv w:val="1"/>
      <w:marLeft w:val="0"/>
      <w:marRight w:val="0"/>
      <w:marTop w:val="0"/>
      <w:marBottom w:val="0"/>
      <w:divBdr>
        <w:top w:val="none" w:sz="0" w:space="0" w:color="auto"/>
        <w:left w:val="none" w:sz="0" w:space="0" w:color="auto"/>
        <w:bottom w:val="none" w:sz="0" w:space="0" w:color="auto"/>
        <w:right w:val="none" w:sz="0" w:space="0" w:color="auto"/>
      </w:divBdr>
    </w:div>
    <w:div w:id="1949924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5</Pages>
  <Words>1574</Words>
  <Characters>9289</Characters>
  <Application>Microsoft Office Word</Application>
  <DocSecurity>0</DocSecurity>
  <Lines>77</Lines>
  <Paragraphs>21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Unicom Praha</dc:creator>
  <cp:keywords/>
  <dc:description/>
  <cp:lastModifiedBy>Veronika Slováčková</cp:lastModifiedBy>
  <cp:revision>16</cp:revision>
  <dcterms:created xsi:type="dcterms:W3CDTF">2024-02-29T09:48:00Z</dcterms:created>
  <dcterms:modified xsi:type="dcterms:W3CDTF">2025-10-17T12:37:00Z</dcterms:modified>
</cp:coreProperties>
</file>